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AF" w:rsidRDefault="003D5CAF" w:rsidP="003D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</w:t>
      </w:r>
    </w:p>
    <w:p w:rsidR="003D5CAF" w:rsidRDefault="003D5CAF" w:rsidP="003D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 докладу главы Дзержинского района о достигнутых значениях</w:t>
      </w:r>
    </w:p>
    <w:p w:rsidR="003D5CAF" w:rsidRDefault="003D5CAF" w:rsidP="003D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показателей по оценке эффективности деятельности органов местного самоуправления за 2022 год и их планируемых значениях на 3-летний период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4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3D5CAF">
        <w:rPr>
          <w:rFonts w:ascii="Times New Roman CYR" w:hAnsi="Times New Roman CYR" w:cs="Times New Roman CYR"/>
          <w:sz w:val="28"/>
          <w:szCs w:val="28"/>
        </w:rPr>
        <w:t>Доклад главы</w:t>
      </w:r>
      <w:r>
        <w:rPr>
          <w:rFonts w:ascii="Times New Roman CYR" w:hAnsi="Times New Roman CYR" w:cs="Times New Roman CYR"/>
          <w:sz w:val="28"/>
          <w:szCs w:val="28"/>
        </w:rPr>
        <w:t xml:space="preserve"> Дзержинского района о результатах </w:t>
      </w:r>
      <w:r w:rsidR="003D5CAF">
        <w:rPr>
          <w:rFonts w:ascii="Times New Roman CYR" w:hAnsi="Times New Roman CYR" w:cs="Times New Roman CYR"/>
          <w:sz w:val="28"/>
          <w:szCs w:val="28"/>
        </w:rPr>
        <w:t>мониторинга эффективности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органов местного самоуправления городских округов и муниципальных районов   по итогам 2022 года (далее –   доклад) подготовлен в целях исполнения: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4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4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Постановления Правительства Российской Федерации от 17.12.2012 №1317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 (далее – постановление Правительства РФ от 17.12.2012 №1317);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4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- Указа Губернатора Красноярского края от 13.04.2009 № 60-уг «Об оценке эффективности деятельности органов местного самоуправления городских округов и муниципальных районов Красноярского края».</w:t>
      </w:r>
    </w:p>
    <w:p w:rsidR="00DE5FDD" w:rsidRPr="003D5CAF" w:rsidRDefault="00DE5FDD" w:rsidP="003D5CAF">
      <w:pPr>
        <w:autoSpaceDE w:val="0"/>
        <w:autoSpaceDN w:val="0"/>
        <w:adjustRightInd w:val="0"/>
        <w:spacing w:after="0" w:line="240" w:lineRule="auto"/>
        <w:ind w:right="24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Доклад, утвержденный  главой района, размещен на официальном сайте администрации района с адресом в информационно-телекоммуникационной сети Интернет - </w:t>
      </w:r>
      <w:hyperlink r:id="rId6" w:history="1">
        <w:r>
          <w:rPr>
            <w:rFonts w:ascii="Times New Roman CYR" w:hAnsi="Times New Roman CYR" w:cs="Times New Roman CYR"/>
            <w:sz w:val="28"/>
            <w:szCs w:val="28"/>
          </w:rPr>
          <w:t>www.adm-dzergin.ru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(раздел «Отдел экономики и труда»).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3D5CAF" w:rsidRDefault="00DE5FDD" w:rsidP="003D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I. Экономическое развитие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3D5CAF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D5CA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1. Число субъектов малого</w:t>
      </w:r>
      <w:r w:rsidR="003D5CA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 и среднего предпринимательства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36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Территориального органа федеральной службы государственной статистики по Красноярскому краю, количество индивидуальных предпринимателей за 2022 год к уровню 2021 года уменьшилось и составило 230 единиц. Количество малых предприятий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2022 год составило 46 единиц, количество крестьянско-фермерских хозяйств - 10 единиц.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left="20" w:right="360"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 субъектов малого и среднего предпринимательства в расчете на 10 000 человек населения по району в 2022 году составило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239,88 </w:t>
      </w:r>
      <w:r>
        <w:rPr>
          <w:rFonts w:ascii="Times New Roman CYR" w:hAnsi="Times New Roman CYR" w:cs="Times New Roman CYR"/>
          <w:sz w:val="28"/>
          <w:szCs w:val="28"/>
        </w:rPr>
        <w:t xml:space="preserve">единиц.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прогнозируемом 2023 году ожидается увеличение на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11,2 единицы</w:t>
      </w:r>
      <w:r>
        <w:rPr>
          <w:rFonts w:ascii="Times New Roman CYR" w:hAnsi="Times New Roman CYR" w:cs="Times New Roman CYR"/>
          <w:sz w:val="28"/>
          <w:szCs w:val="28"/>
        </w:rPr>
        <w:t xml:space="preserve">, в 2024 году на 9,52 единицы, в 2025 году   на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8,58 единиц</w:t>
      </w:r>
      <w:r>
        <w:rPr>
          <w:rFonts w:ascii="Times New Roman CYR" w:hAnsi="Times New Roman CYR" w:cs="Times New Roman CYR"/>
          <w:sz w:val="28"/>
          <w:szCs w:val="28"/>
        </w:rPr>
        <w:t xml:space="preserve">. Увеличение планируется за счет снижения   </w:t>
      </w:r>
      <w:r w:rsidR="003D5CAF">
        <w:rPr>
          <w:rFonts w:ascii="Times New Roman CYR" w:hAnsi="Times New Roman CYR" w:cs="Times New Roman CYR"/>
          <w:sz w:val="28"/>
          <w:szCs w:val="28"/>
        </w:rPr>
        <w:t>численности населения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E5FDD" w:rsidRPr="003D5CAF" w:rsidRDefault="00DE5FDD" w:rsidP="003D5CAF">
      <w:pPr>
        <w:autoSpaceDE w:val="0"/>
        <w:autoSpaceDN w:val="0"/>
        <w:adjustRightInd w:val="0"/>
        <w:spacing w:after="0" w:line="240" w:lineRule="auto"/>
        <w:ind w:right="36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предприятий по видам экономической деятельности в течение ряда лет остается практически не изменой. Отраслевое распределение малых предприятий характеризуется высокой долей предприятий розничной торговли. Торговля и сфера услуг являются наиболее предпочтительными для малых предприятий. 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3D5CAF" w:rsidRDefault="00DE5FDD" w:rsidP="003D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D5CA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В 2022 году среднесписочная численность работников (без внешних совместителей) малых и средних предприятий с учетом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составило </w:t>
      </w:r>
      <w:r w:rsidR="003D5CAF">
        <w:rPr>
          <w:rFonts w:ascii="Times New Roman CYR" w:hAnsi="Times New Roman CYR" w:cs="Times New Roman CYR"/>
          <w:sz w:val="28"/>
          <w:szCs w:val="28"/>
        </w:rPr>
        <w:t>1138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36,78 </w:t>
      </w:r>
      <w:r>
        <w:rPr>
          <w:rFonts w:ascii="Times New Roman CYR" w:hAnsi="Times New Roman CYR" w:cs="Times New Roman CYR"/>
          <w:sz w:val="28"/>
          <w:szCs w:val="28"/>
        </w:rPr>
        <w:t xml:space="preserve">% в среднесписочной численности работников всех предприятий и организаций района. Среднесписочная численность работников малых и </w:t>
      </w:r>
      <w:proofErr w:type="spellStart"/>
      <w:r w:rsidR="003D5CAF"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 w:rsidR="003D5CAF">
        <w:rPr>
          <w:rFonts w:ascii="Times New Roman CYR" w:hAnsi="Times New Roman CYR" w:cs="Times New Roman CYR"/>
          <w:sz w:val="28"/>
          <w:szCs w:val="28"/>
        </w:rPr>
        <w:t xml:space="preserve"> к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уровню 2021 </w:t>
      </w:r>
      <w:r w:rsidR="003D5CAF">
        <w:rPr>
          <w:rFonts w:ascii="Times New Roman CYR" w:hAnsi="Times New Roman CYR" w:cs="Times New Roman CYR"/>
          <w:sz w:val="28"/>
          <w:szCs w:val="28"/>
        </w:rPr>
        <w:t>года увеличилась</w:t>
      </w:r>
      <w:r>
        <w:rPr>
          <w:rFonts w:ascii="Times New Roman CYR" w:hAnsi="Times New Roman CYR" w:cs="Times New Roman CYR"/>
          <w:sz w:val="28"/>
          <w:szCs w:val="28"/>
        </w:rPr>
        <w:t xml:space="preserve"> на 6 человек и в 2022 </w:t>
      </w:r>
      <w:r w:rsidR="003D5CAF">
        <w:rPr>
          <w:rFonts w:ascii="Times New Roman CYR" w:hAnsi="Times New Roman CYR" w:cs="Times New Roman CYR"/>
          <w:sz w:val="28"/>
          <w:szCs w:val="28"/>
        </w:rPr>
        <w:t>году составило</w:t>
      </w:r>
      <w:r>
        <w:rPr>
          <w:rFonts w:ascii="Times New Roman CYR" w:hAnsi="Times New Roman CYR" w:cs="Times New Roman CYR"/>
          <w:sz w:val="28"/>
          <w:szCs w:val="28"/>
        </w:rPr>
        <w:t xml:space="preserve"> 591 человек.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Уровень развития малого и среднего предпринимательства на территории муниципального образования во многом зависит от эффективности мер поддержки предпринимательства, принимаемых органами местного самоуправления, в том числе и мер финансовой поддержки.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Поддержка и развитие малого и среднего </w:t>
      </w:r>
      <w:r w:rsidR="003D5CAF">
        <w:rPr>
          <w:rFonts w:ascii="Times New Roman CYR" w:hAnsi="Times New Roman CYR" w:cs="Times New Roman CYR"/>
          <w:color w:val="000000"/>
          <w:sz w:val="28"/>
          <w:szCs w:val="28"/>
        </w:rPr>
        <w:t>предпринимательства осуществляется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рамках мероприятий муниципальной целевой </w:t>
      </w:r>
      <w:r w:rsidR="003D5CAF">
        <w:rPr>
          <w:rFonts w:ascii="Times New Roman CYR" w:hAnsi="Times New Roman CYR" w:cs="Times New Roman CYR"/>
          <w:color w:val="000000"/>
          <w:sz w:val="28"/>
          <w:szCs w:val="28"/>
        </w:rPr>
        <w:t>программы</w:t>
      </w:r>
      <w:r w:rsidR="003D5CAF">
        <w:rPr>
          <w:rFonts w:ascii="Times New Roman CYR" w:hAnsi="Times New Roman CYR" w:cs="Times New Roman CYR"/>
          <w:color w:val="000000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малого и среднего предпринимательства и инвестиционного климата в Дзержинском районе на 2014-2025 годы». </w:t>
      </w:r>
    </w:p>
    <w:p w:rsidR="00DE5FDD" w:rsidRDefault="00DE5FDD" w:rsidP="003D5CAF">
      <w:pPr>
        <w:autoSpaceDE w:val="0"/>
        <w:autoSpaceDN w:val="0"/>
        <w:adjustRightInd w:val="0"/>
        <w:spacing w:after="0" w:line="252" w:lineRule="auto"/>
        <w:ind w:right="26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2022 году на реализацию программных мероприятий направлено 1,835 млн. рублей. Поддержка оказана 9 субъектам малого предпринимательства. Результатом реализации программных мероприятий в 2022 году стало создание на территории района 3 рабочих мест, сохранено 180 рабочих места и привлечение инвестиций 42,4 млн. рублей.  </w:t>
      </w:r>
    </w:p>
    <w:p w:rsidR="00DE5FDD" w:rsidRDefault="00DE5FDD" w:rsidP="003D5CAF">
      <w:pPr>
        <w:widowControl w:val="0"/>
        <w:autoSpaceDE w:val="0"/>
        <w:autoSpaceDN w:val="0"/>
        <w:adjustRightInd w:val="0"/>
        <w:spacing w:after="0" w:line="240" w:lineRule="auto"/>
        <w:ind w:right="34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мероприятий муниципальной поддержки в прогнозном периоде будет способствовать росту оборота малых и средних предприятий в стоимостном выражении, а также увеличению объема </w:t>
      </w:r>
      <w:r w:rsidR="003D5CAF">
        <w:rPr>
          <w:rFonts w:ascii="Times New Roman CYR" w:hAnsi="Times New Roman CYR" w:cs="Times New Roman CYR"/>
          <w:sz w:val="28"/>
          <w:szCs w:val="28"/>
        </w:rPr>
        <w:t>инвестиций в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основной капитал малых организаций.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850"/>
        <w:gridCol w:w="851"/>
        <w:gridCol w:w="992"/>
        <w:gridCol w:w="992"/>
        <w:gridCol w:w="1134"/>
      </w:tblGrid>
      <w:tr w:rsidR="00DE5FDD" w:rsidTr="003D5CAF">
        <w:trPr>
          <w:trHeight w:val="300"/>
        </w:trPr>
        <w:tc>
          <w:tcPr>
            <w:tcW w:w="49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 и единицы измерения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показателя</w:t>
            </w:r>
          </w:p>
        </w:tc>
      </w:tr>
      <w:tr w:rsidR="00DE5FDD" w:rsidTr="003D5CAF">
        <w:trPr>
          <w:trHeight w:val="600"/>
        </w:trPr>
        <w:tc>
          <w:tcPr>
            <w:tcW w:w="49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 прогноз</w:t>
            </w:r>
          </w:p>
        </w:tc>
      </w:tr>
      <w:tr w:rsidR="00DE5FDD" w:rsidTr="003D5CAF">
        <w:trPr>
          <w:trHeight w:val="30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 Количество малых и </w:t>
            </w:r>
            <w:proofErr w:type="spellStart"/>
            <w:r>
              <w:rPr>
                <w:rFonts w:ascii="Calibri" w:hAnsi="Calibri" w:cs="Calibri"/>
              </w:rPr>
              <w:t>микропредприятий</w:t>
            </w:r>
            <w:proofErr w:type="spellEnd"/>
            <w:r>
              <w:rPr>
                <w:rFonts w:ascii="Calibri" w:hAnsi="Calibri" w:cs="Calibri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</w:tr>
      <w:tr w:rsidR="00DE5FDD" w:rsidTr="003D5CAF">
        <w:trPr>
          <w:trHeight w:val="30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 Количество средних предприятий,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E5FDD" w:rsidTr="003D5CAF">
        <w:trPr>
          <w:trHeight w:val="39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 Количество индивидуальных предпринимателей,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</w:t>
            </w:r>
          </w:p>
        </w:tc>
      </w:tr>
      <w:tr w:rsidR="00DE5FDD" w:rsidTr="003D5CAF">
        <w:trPr>
          <w:trHeight w:val="61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 в том числе количество крестьянско-фермерских хозяйств,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DE5FDD" w:rsidTr="003D5CAF">
        <w:trPr>
          <w:trHeight w:val="88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>
              <w:rPr>
                <w:rFonts w:ascii="Calibri" w:hAnsi="Calibri" w:cs="Calibri"/>
                <w:b/>
                <w:bCs/>
              </w:rPr>
              <w:t>на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конец отчетного года</w:t>
            </w:r>
            <w:r>
              <w:rPr>
                <w:rFonts w:ascii="Calibri" w:hAnsi="Calibri" w:cs="Calibri"/>
              </w:rPr>
              <w:t>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10 365</w:t>
            </w:r>
          </w:p>
        </w:tc>
      </w:tr>
      <w:tr w:rsidR="00DE5FDD" w:rsidTr="003D5CAF">
        <w:trPr>
          <w:trHeight w:val="85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236,94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269,18</w:t>
            </w:r>
          </w:p>
        </w:tc>
      </w:tr>
      <w:tr w:rsidR="00DE5FDD" w:rsidTr="003D5CAF">
        <w:trPr>
          <w:trHeight w:val="60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 Среднесписочная численность работников малых и </w:t>
            </w:r>
            <w:proofErr w:type="spellStart"/>
            <w:r>
              <w:rPr>
                <w:rFonts w:ascii="Calibri" w:hAnsi="Calibri" w:cs="Calibri"/>
              </w:rPr>
              <w:t>микропредприятий</w:t>
            </w:r>
            <w:proofErr w:type="spellEnd"/>
            <w:r>
              <w:rPr>
                <w:rFonts w:ascii="Calibri" w:hAnsi="Calibri" w:cs="Calibri"/>
              </w:rPr>
              <w:t>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</w:t>
            </w:r>
          </w:p>
        </w:tc>
      </w:tr>
      <w:tr w:rsidR="00DE5FDD" w:rsidTr="003D5CAF">
        <w:trPr>
          <w:trHeight w:val="90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</w:tr>
      <w:tr w:rsidR="00DE5FDD" w:rsidTr="003D5CAF">
        <w:trPr>
          <w:trHeight w:val="60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 в том числе в крестьянско-фермерских хозяйствах,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DE5FDD" w:rsidTr="003D5CAF">
        <w:trPr>
          <w:trHeight w:val="60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</w:t>
            </w:r>
          </w:p>
        </w:tc>
      </w:tr>
      <w:tr w:rsidR="00DE5FDD" w:rsidTr="003D5CAF">
        <w:trPr>
          <w:trHeight w:val="126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2 048</w:t>
            </w:r>
          </w:p>
        </w:tc>
      </w:tr>
      <w:tr w:rsidR="00DE5FDD" w:rsidTr="003D5CAF">
        <w:trPr>
          <w:trHeight w:val="199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36,21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37,45</w:t>
            </w:r>
          </w:p>
        </w:tc>
      </w:tr>
    </w:tbl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3D5CAF" w:rsidRDefault="00DE5FDD" w:rsidP="003D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D5CA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3. Объем инвестиций в основной капитал (за исключением бюджетных средств) в расчете на 1 человека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Устойчивое состояние и успешное развитие района во многом зависит от инвестиционной активности, сложившейся на территории района. На сегодняшний день одной из наиболее важных задач является привлечение инвестиций в экономику района. Предприятия вкладывают значительные средства в обновление основных средств. Основным источником финансирования инвестиций являются привлеченные средства.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left="120" w:right="-1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2022 году в экономику района привлечено 221 230 тыс. рублей инвестиций в основной капитал за счет всех источников финансирования, к уровню 2021 года снижение в действующих ценах составило 12,5%, в сопоставимых на 25,4% (в 2021 году 252 740 тыс. рублей). Объем инвестиций в основной капитал (за исключением бюджетных средств) в расчете на 1 жителя района составляет 4 926,53 рублей, что меньше данного показателя 2021 года в действующих ценах на 43,7%, в сопоставимых ценах на 52% (в 2021 году 8 747,78 рублей). В отчетном периоде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инвестиции распределились по таким видам деятельности, как: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i/>
          <w:iCs/>
          <w:spacing w:val="-1"/>
          <w:sz w:val="28"/>
          <w:szCs w:val="28"/>
          <w:highlight w:val="white"/>
        </w:rPr>
        <w:t xml:space="preserve">«Образование»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инвестиции составили 144 218 тыс. рублей, к уровню 2021 года увеличение на 54,3% (93 445 тыс. рублей).  </w:t>
      </w:r>
      <w:r>
        <w:rPr>
          <w:rFonts w:ascii="Times New Roman CYR" w:hAnsi="Times New Roman CYR" w:cs="Times New Roman CYR"/>
          <w:sz w:val="28"/>
          <w:szCs w:val="28"/>
        </w:rPr>
        <w:t>приобретение оборудования и товаров (игрушки, постельное белье, посуда и др.)  для нового детского сада «Березка» на 190 мест</w:t>
      </w:r>
    </w:p>
    <w:p w:rsidR="00DE5FDD" w:rsidRDefault="00DE5FDD" w:rsidP="003D5CAF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52" w:lineRule="auto"/>
        <w:ind w:firstLine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"Деятельность в области здравоохранения и социальных услуг" </w:t>
      </w:r>
      <w:r>
        <w:rPr>
          <w:rFonts w:ascii="Times New Roman CYR" w:hAnsi="Times New Roman CYR" w:cs="Times New Roman CYR"/>
          <w:sz w:val="28"/>
          <w:szCs w:val="28"/>
        </w:rPr>
        <w:t xml:space="preserve">инвестиции оставили 8 886 тыс. рублей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к уровню 2021 года снижение на 77,1% (38 860 тыс. рублей). </w:t>
      </w:r>
      <w:r>
        <w:rPr>
          <w:rFonts w:ascii="Times New Roman CYR" w:hAnsi="Times New Roman CYR" w:cs="Times New Roman CYR"/>
          <w:sz w:val="28"/>
          <w:szCs w:val="28"/>
        </w:rPr>
        <w:t xml:space="preserve"> В целях обеспечения доступной качественной медицинской помощи   продолжилось развитие материально-технической базы Дзержинский районной больницы:  получены автомобиль скорой медицинской помощи,   автомобиль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санитарного транспорта, приобретено медицинское оборудование: анализатор биохимический, аппарат рентгеновский передвижной,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маммограф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ФГДС аппарат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рентгено-флюорогафический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цифровой мало дозовый, так же были выделены бюджетные ассигнования на приобретение холодильного оборудования, были дооснащены медицинской аппаратурой фельдшерско-акушерские пункты.</w:t>
      </w:r>
    </w:p>
    <w:p w:rsidR="00DE5FDD" w:rsidRDefault="00DE5FDD" w:rsidP="003D5CAF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52" w:lineRule="auto"/>
        <w:ind w:firstLine="425"/>
        <w:jc w:val="both"/>
        <w:rPr>
          <w:rFonts w:ascii="Times New Roman CYR" w:hAnsi="Times New Roman CYR" w:cs="Times New Roman CYR"/>
          <w:kern w:val="27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Объем инвестиций за счет бюджетных средств в 2022 году составил 163 161 тыс. рублей, к уровню 2021 года произошло увеличение на 14,5% (в 2021 году 142 553 тыс. рублей).  </w:t>
      </w:r>
      <w:r>
        <w:rPr>
          <w:rFonts w:ascii="Times New Roman CYR" w:hAnsi="Times New Roman CYR" w:cs="Times New Roman CYR"/>
          <w:kern w:val="27"/>
          <w:sz w:val="28"/>
          <w:szCs w:val="28"/>
        </w:rPr>
        <w:t xml:space="preserve"> </w:t>
      </w:r>
    </w:p>
    <w:p w:rsidR="00DE5FDD" w:rsidRPr="003D5CAF" w:rsidRDefault="00DE5FDD" w:rsidP="003D5CAF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52" w:lineRule="auto"/>
        <w:ind w:firstLine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27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закона Красноярского края «О краевом бюджете на 2023 год и плановый период 2024-2025 годов № 4-1351 от 09.12.2022 г. в 2023 году планируется   объем инвестиций 13 161,3 тыс. рублей, за счет строительства быстровозводимой крытой спортивной площадки в с. Дзержинское - 8 161,3 тыс. рублей и строительства досугового центра в 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Шеломки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- 5000,0 тыс. рублей. В прогнозном периоде в 2024-2025гг. применен индекс-дефлятор.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19"/>
        <w:gridCol w:w="1149"/>
        <w:gridCol w:w="1134"/>
        <w:gridCol w:w="1134"/>
        <w:gridCol w:w="1134"/>
      </w:tblGrid>
      <w:tr w:rsidR="00DE5FDD">
        <w:trPr>
          <w:trHeight w:val="289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Значения показателя</w:t>
            </w:r>
          </w:p>
        </w:tc>
      </w:tr>
      <w:tr w:rsidR="00DE5FDD">
        <w:trPr>
          <w:trHeight w:val="600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2021 факт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2022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2023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2024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2025 прогноз</w:t>
            </w:r>
          </w:p>
        </w:tc>
      </w:tr>
      <w:tr w:rsidR="00DE5FDD">
        <w:trPr>
          <w:trHeight w:val="90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252 740,00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221 230,00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237 158,56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250 676,60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263 962,46</w:t>
            </w:r>
          </w:p>
        </w:tc>
      </w:tr>
      <w:tr w:rsidR="00DE5FDD">
        <w:trPr>
          <w:trHeight w:val="55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1.1. Темп роста в действующих ценах, к соответствующему периоду предыдущего года, 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164,39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87,53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105,30</w:t>
            </w:r>
          </w:p>
        </w:tc>
      </w:tr>
      <w:tr w:rsidR="00DE5FDD">
        <w:trPr>
          <w:trHeight w:val="30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1.2. Индекс-дефлятор, 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107,40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117,40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105,30</w:t>
            </w:r>
          </w:p>
        </w:tc>
      </w:tr>
      <w:tr w:rsidR="00DE5FDD">
        <w:trPr>
          <w:trHeight w:val="51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153,06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74,56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100,00</w:t>
            </w:r>
          </w:p>
        </w:tc>
      </w:tr>
      <w:tr w:rsidR="00DE5FDD">
        <w:trPr>
          <w:trHeight w:val="60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142 553,00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163 161,00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13 161,30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13 911,49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14 648,80</w:t>
            </w:r>
          </w:p>
        </w:tc>
      </w:tr>
      <w:tr w:rsidR="00DE5FDD">
        <w:trPr>
          <w:trHeight w:val="75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110 187,00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58 069,00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223 997,26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236 765,11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249 313,66</w:t>
            </w:r>
          </w:p>
        </w:tc>
      </w:tr>
      <w:tr w:rsidR="00DE5FDD">
        <w:trPr>
          <w:trHeight w:val="90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Среднегодовая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12 596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10536</w:t>
            </w:r>
          </w:p>
        </w:tc>
      </w:tr>
      <w:tr w:rsidR="00DE5FDD">
        <w:trPr>
          <w:trHeight w:val="111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8 747,78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4 926,53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19733,7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21703,65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23663,03</w:t>
            </w:r>
          </w:p>
        </w:tc>
      </w:tr>
    </w:tbl>
    <w:p w:rsidR="00DE5FDD" w:rsidRDefault="00DE5FDD" w:rsidP="00DE5FDD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</w:p>
    <w:p w:rsidR="00DE5FDD" w:rsidRPr="003D5CAF" w:rsidRDefault="00DE5FDD" w:rsidP="003D5CAF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района инвестиционные проекты не реализуются.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3D5CAF" w:rsidRDefault="00DE5FDD" w:rsidP="003D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D5CA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4.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(муниципального района)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202</w:t>
      </w:r>
      <w:r w:rsidRPr="00DE5F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площадь земельных участков, являющихся объектами налогообложения земельным налогом к уровню 202</w:t>
      </w:r>
      <w:r w:rsidRPr="00DE5F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увеличилась на 24,5 га</w:t>
      </w:r>
      <w:proofErr w:type="gramStart"/>
      <w:r w:rsidR="003D5CAF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3D5CA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составило 60 798,5 га. (в 2021 году - 60 774 га.).  Доля площади земельных участков, являющихся объектами налогообложения земельным налогом, в общей площади территории района (356 851 га.) составляет 17,04%.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Рост площади земельных участков, являющихся объектами налогообложения земельным налогом, обусловлен следующими причинами: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выкуп земельных участков из государственной собственности - 22,35 га.;</w:t>
      </w:r>
    </w:p>
    <w:p w:rsidR="00DE5FDD" w:rsidRPr="003D5CAF" w:rsidRDefault="00DE5FDD" w:rsidP="003D5CAF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земельных участков государственной собственности бесплатно в собственность многодетным семьям - 2,1 га.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3D5CAF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D5CA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5. Доля прибыльных сельскохозяйственных организаций в общем их числе</w:t>
      </w:r>
    </w:p>
    <w:p w:rsidR="00DE5FDD" w:rsidRDefault="00DE5FDD" w:rsidP="00DE5FDD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Дзержинский район сельскохозяйственный, занимается растениеводством и животноводством. В сводной годовой бухгалтерской отчетности за 2022 год по району включено 13 сельскохозяйственных предприятий различных организационно - правовых форм и форм собственности, из которых 12 предприятий прибыльных, 1 убыточное (92,3 % от общего числа) получили прибыль по итогам года.</w:t>
      </w:r>
    </w:p>
    <w:p w:rsidR="00DE5FDD" w:rsidRPr="003D5CAF" w:rsidRDefault="00DE5FDD" w:rsidP="003D5CAF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В отчетном периоде деятельность организаций сельского хозяйства в районе осуществлялась в условиях продолжения реализации мер государственной поддержки за счет средств краевого и федерального бюджетов. В рамках выполнения мероприятий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 на 2014-2030 годы субъектам агропромышленного комплекса в 2022 году была оказана государственная поддержка в объеме 189639,32089 тыс. рублей, в том числе за счет средств краевого бюджета 134267,60829 тыс. рублей, за счет средств федерального бюджета 55371,71260 тыс. рублей.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3D5CAF" w:rsidRDefault="00DE5FDD" w:rsidP="003D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D5CA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Общая протяженность автомобильных дорог общего пользования Дзержинского района по состоянию на 01.01.2023 составила 577,98 км, из которых 262,3 км – дороги местного значения.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Протяженность автомобильных дорог общего пользования местного значения, не отвечающих нормативным требованиям, составила в 2022 году 72,51% (190,2 км) в общей протяженности автомобильных дорог общего пользования местного значения. 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Отсутствие в местных бюджетах денежных средств в объемах, достаточных для содержания, развития и модернизации автомобильных дорог, является основной причиной неудовлетворительного состояния дорожной сети местного значения. Кроме того, большое влияние на качество дорог оказывают многократно возросшие нагрузки от воздействия тяжеловесного транспорта.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Учитывая недостаточность средств бюджетов муниципальных образований, Правительством Красноярского края ежегодно предоставляются субсидии бюджетам муниципальных образований на осуществление дорожной деятельности в отношении автомобильных дорог местного значения.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в 2022 году в рамках реализации государственной программы Красноярского края «Развитие транспортной системы» бюджетам сельсоветов Дзержинского района предоставлено субсидий: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капитальный ремонт и ремонт автомобильных дорог общего пользования местного значения 14 421 937,25 рублей;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содержание автомобильных дорог общего пользования местного значения составили 4 080 100,00 рублей;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осуществление дорожной деятельности в целях решения задач, направленных на социально-экономическое развитие территории 15 000 000,00 рублей.</w:t>
      </w:r>
    </w:p>
    <w:p w:rsidR="00DE5FDD" w:rsidRPr="003D5CAF" w:rsidRDefault="00DE5FDD" w:rsidP="003D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проведённых работ приведено в соответствие с требованиями нормативов порядка 5 605 метров.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3D5CAF" w:rsidRDefault="00DE5FDD" w:rsidP="003D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D5CA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округов (муниципального района) в общей численности населения муниципального, городского округов (муниципального района)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население, проживающее в населенных пунктах района, имеет регулярное автобусное сообщение с административным центром Дзержинского района.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DE5FDD" w:rsidRPr="003D5CAF" w:rsidRDefault="00DE5FDD" w:rsidP="003D5CAF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оказания содействия органам местного самоуправления в реализации полномочий по решению вопросов местного значения ежегодно из фонда финансовой поддержки Красноярского края выделяются средства на выполнение муниципальных программ пассажирских перевозок автомобильным транспортом. В 2022 году на данные цели было выделено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20 035,0</w:t>
      </w:r>
      <w:r>
        <w:rPr>
          <w:rFonts w:ascii="Times New Roman CYR" w:hAnsi="Times New Roman CYR" w:cs="Times New Roman CYR"/>
          <w:color w:val="333333"/>
          <w:sz w:val="27"/>
          <w:szCs w:val="27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рублей.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3D5CAF" w:rsidRDefault="00DE5FDD" w:rsidP="003D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D5CA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8. Среднемесячная номинальная начисленная заработная плата работников:</w:t>
      </w:r>
    </w:p>
    <w:p w:rsidR="00DE5FDD" w:rsidRPr="003D5CAF" w:rsidRDefault="00DE5FDD" w:rsidP="003D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color w:val="000000"/>
          <w:sz w:val="12"/>
          <w:szCs w:val="12"/>
        </w:rPr>
      </w:pPr>
    </w:p>
    <w:p w:rsidR="00DE5FDD" w:rsidRPr="003D5CAF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D5CA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8.1. крупных и средних предприятий и некоммерческих организаций;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</w:t>
      </w:r>
    </w:p>
    <w:p w:rsidR="00DE5FDD" w:rsidRDefault="00DE5FDD" w:rsidP="00DE5FDD">
      <w:pPr>
        <w:widowControl w:val="0"/>
        <w:autoSpaceDE w:val="0"/>
        <w:autoSpaceDN w:val="0"/>
        <w:adjustRightInd w:val="0"/>
        <w:spacing w:after="0" w:line="322" w:lineRule="exact"/>
        <w:ind w:right="2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  Изменению уровня жизни населения способствует рост заработной платы. </w:t>
      </w:r>
    </w:p>
    <w:p w:rsidR="00DE5FDD" w:rsidRDefault="00DE5FDD" w:rsidP="00DE5FDD">
      <w:pPr>
        <w:widowControl w:val="0"/>
        <w:autoSpaceDE w:val="0"/>
        <w:autoSpaceDN w:val="0"/>
        <w:adjustRightInd w:val="0"/>
        <w:spacing w:after="0" w:line="322" w:lineRule="exact"/>
        <w:ind w:right="22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Среднемесячная номинальная заработная плата работников за 2022 год крупных и средних предприятий и некоммерческих организаций составила 43359,0 рублей, темп роста к уровню прошлого года составил 14,0 %.</w:t>
      </w:r>
    </w:p>
    <w:p w:rsidR="00DE5FDD" w:rsidRDefault="00DE5FDD" w:rsidP="00DE5FDD">
      <w:pPr>
        <w:widowControl w:val="0"/>
        <w:autoSpaceDE w:val="0"/>
        <w:autoSpaceDN w:val="0"/>
        <w:adjustRightInd w:val="0"/>
        <w:spacing w:after="0" w:line="322" w:lineRule="exact"/>
        <w:ind w:right="22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2022 году были сохранены достигнутые целевые показатели, установленные указами Президента Российской Федерации в части размера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заработной платы отдельных категорий работников бюджетной сферы и повышением </w:t>
      </w:r>
      <w:r w:rsidR="003D5CAF">
        <w:rPr>
          <w:rFonts w:ascii="Times New Roman CYR" w:hAnsi="Times New Roman CYR" w:cs="Times New Roman CYR"/>
          <w:sz w:val="28"/>
          <w:szCs w:val="28"/>
        </w:rPr>
        <w:t xml:space="preserve">МРОТ </w:t>
      </w:r>
      <w:r w:rsidR="003D5CAF">
        <w:rPr>
          <w:rFonts w:ascii="Times New Roman CYR" w:hAnsi="Times New Roman CYR" w:cs="Times New Roman CYR"/>
          <w:sz w:val="28"/>
          <w:szCs w:val="28"/>
          <w:highlight w:val="white"/>
        </w:rPr>
        <w:t>с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01.01.2022 года с 12792 рублей до 13890 рублей и с 01.06.2022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с 13890 рублей до 15279 рублей.</w:t>
      </w:r>
    </w:p>
    <w:p w:rsidR="00DE5FDD" w:rsidRDefault="00DE5FDD" w:rsidP="00DE5FDD">
      <w:pPr>
        <w:widowControl w:val="0"/>
        <w:autoSpaceDE w:val="0"/>
        <w:autoSpaceDN w:val="0"/>
        <w:adjustRightInd w:val="0"/>
        <w:spacing w:after="0" w:line="322" w:lineRule="exact"/>
        <w:ind w:right="2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Оценка среднемесячной номинальной заработной платы на 2023 год составила 47261,31 рубль, темп роста к уровню 2022 года составил 109,0 %. Прогноз среднемесячной номинальной заработной платы на 2024 год – 50900,43 рублей, темп роста 107,7 </w:t>
      </w:r>
      <w:r w:rsidR="003D5CAF">
        <w:rPr>
          <w:rFonts w:ascii="Times New Roman CYR" w:hAnsi="Times New Roman CYR" w:cs="Times New Roman CYR"/>
          <w:sz w:val="28"/>
          <w:szCs w:val="28"/>
        </w:rPr>
        <w:t>%, на</w:t>
      </w:r>
      <w:r>
        <w:rPr>
          <w:rFonts w:ascii="Times New Roman CYR" w:hAnsi="Times New Roman CYR" w:cs="Times New Roman CYR"/>
          <w:sz w:val="28"/>
          <w:szCs w:val="28"/>
        </w:rPr>
        <w:t xml:space="preserve"> 2025 год – 54463,46 рубля, темп роста 107,0 %.</w:t>
      </w:r>
    </w:p>
    <w:p w:rsidR="00DE5FDD" w:rsidRPr="003D5CAF" w:rsidRDefault="00DE5FDD" w:rsidP="003D5CAF">
      <w:pPr>
        <w:widowControl w:val="0"/>
        <w:autoSpaceDE w:val="0"/>
        <w:autoSpaceDN w:val="0"/>
        <w:adjustRightInd w:val="0"/>
        <w:spacing w:after="0" w:line="322" w:lineRule="exact"/>
        <w:ind w:right="22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Темпы роста заработной платы в прогнозном периоде будут сохранены в результате сохранения достигнутых соотношений между уровнем оплаты труда отдельных категорий работников бюджетной сферы и уровнем средней заработной платы, с увеличением МРОТ ежегодно с 1 января.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3D5CAF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D5CA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8.2. муниципальных дошкольных образовательных учреждений;</w:t>
      </w:r>
    </w:p>
    <w:p w:rsidR="00DE5FDD" w:rsidRPr="003D5CAF" w:rsidRDefault="00DE5FDD" w:rsidP="003D5CAF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В 2022 году средняя заработная плата работников муниципальных дошкольных образовательных учреждений составила 36 830,</w:t>
      </w:r>
      <w:r w:rsidR="003D5CAF">
        <w:rPr>
          <w:rFonts w:ascii="Times New Roman CYR" w:hAnsi="Times New Roman CYR" w:cs="Times New Roman CYR"/>
          <w:sz w:val="28"/>
          <w:szCs w:val="28"/>
        </w:rPr>
        <w:t>4 рублей</w:t>
      </w:r>
      <w:r w:rsidR="003D5CAF"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2021 год – 32 619,</w:t>
      </w:r>
      <w:r w:rsidR="003D5CAF">
        <w:rPr>
          <w:rFonts w:ascii="Times New Roman CYR" w:hAnsi="Times New Roman CYR" w:cs="Times New Roman CYR"/>
          <w:sz w:val="28"/>
          <w:szCs w:val="28"/>
        </w:rPr>
        <w:t>57 рубля, рост</w:t>
      </w:r>
      <w:r>
        <w:rPr>
          <w:rFonts w:ascii="Times New Roman CYR" w:hAnsi="Times New Roman CYR" w:cs="Times New Roman CYR"/>
          <w:sz w:val="28"/>
          <w:szCs w:val="28"/>
        </w:rPr>
        <w:t xml:space="preserve"> на 12,9 %)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Отношение среднемесячной номинальной начисленной заработной платы работников муниципальных дошкольных образовательных учреждений к среднемесячной номинальной начисленной заработной плате </w:t>
      </w:r>
      <w:r w:rsidR="003D5CAF">
        <w:rPr>
          <w:rFonts w:ascii="Times New Roman CYR" w:hAnsi="Times New Roman CYR" w:cs="Times New Roman CYR"/>
          <w:sz w:val="28"/>
          <w:szCs w:val="28"/>
        </w:rPr>
        <w:t>работников крупных</w:t>
      </w:r>
      <w:r>
        <w:rPr>
          <w:rFonts w:ascii="Times New Roman CYR" w:hAnsi="Times New Roman CYR" w:cs="Times New Roman CYR"/>
          <w:sz w:val="28"/>
          <w:szCs w:val="28"/>
        </w:rPr>
        <w:t xml:space="preserve"> и средних предприятий и некоммерческих организаций составляет 84,9%. 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3D5CAF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D5CA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8.3. муниципальных общеобразовательных учреждений;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В 2022 году уровень средней заработной платы работников муниципальных общеобразовательных учреждений </w:t>
      </w:r>
      <w:r w:rsidR="003D5CAF">
        <w:rPr>
          <w:rFonts w:ascii="Times New Roman CYR" w:hAnsi="Times New Roman CYR" w:cs="Times New Roman CYR"/>
          <w:sz w:val="28"/>
          <w:szCs w:val="28"/>
        </w:rPr>
        <w:t>составил 46</w:t>
      </w:r>
      <w:r>
        <w:rPr>
          <w:rFonts w:ascii="Times New Roman CYR" w:hAnsi="Times New Roman CYR" w:cs="Times New Roman CYR"/>
          <w:sz w:val="28"/>
          <w:szCs w:val="28"/>
        </w:rPr>
        <w:t xml:space="preserve"> 654,</w:t>
      </w:r>
      <w:r w:rsidR="003D5CAF">
        <w:rPr>
          <w:rFonts w:ascii="Times New Roman CYR" w:hAnsi="Times New Roman CYR" w:cs="Times New Roman CYR"/>
          <w:sz w:val="28"/>
          <w:szCs w:val="28"/>
        </w:rPr>
        <w:t>6 рублей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2021 год – 40 177,</w:t>
      </w:r>
      <w:r w:rsidR="003D5CAF">
        <w:rPr>
          <w:rFonts w:ascii="Times New Roman CYR" w:hAnsi="Times New Roman CYR" w:cs="Times New Roman CYR"/>
          <w:sz w:val="28"/>
          <w:szCs w:val="28"/>
        </w:rPr>
        <w:t>95 рублей</w:t>
      </w:r>
      <w:r>
        <w:rPr>
          <w:rFonts w:ascii="Times New Roman CYR" w:hAnsi="Times New Roman CYR" w:cs="Times New Roman CYR"/>
          <w:sz w:val="28"/>
          <w:szCs w:val="28"/>
        </w:rPr>
        <w:t>, рост – 16,1 %)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Отношение среднемесячной номинальной начисленной заработной платы работников муниципальных общеобразовательных учреждений к среднемесячной номинальной начисленной заработной плате работников крупных и средних предприятий и некоммерческих организаций составляет 107,6 %, учителей – 134,5 %.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3D5CAF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D5CA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8.4. муниципальных учреждений культуры и искусства;</w:t>
      </w:r>
    </w:p>
    <w:p w:rsidR="00DE5FDD" w:rsidRPr="003D5CAF" w:rsidRDefault="00DE5FDD" w:rsidP="003D5CAF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Arial" w:hAnsi="Arial" w:cs="Arial"/>
          <w:sz w:val="16"/>
          <w:szCs w:val="16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В 2022 году среднемесячная номинальная заработная </w:t>
      </w:r>
      <w:r w:rsidR="003D5CAF">
        <w:rPr>
          <w:rFonts w:ascii="Times New Roman CYR" w:hAnsi="Times New Roman CYR" w:cs="Times New Roman CYR"/>
          <w:sz w:val="28"/>
          <w:szCs w:val="28"/>
        </w:rPr>
        <w:t>плата в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муниципальных </w:t>
      </w:r>
      <w:r w:rsidR="003D5CAF">
        <w:rPr>
          <w:rFonts w:ascii="Times New Roman CYR" w:hAnsi="Times New Roman CYR" w:cs="Times New Roman CYR"/>
          <w:sz w:val="28"/>
          <w:szCs w:val="28"/>
        </w:rPr>
        <w:t>учреждениях культуры составила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40 474,3 рублей, рост заработной платы по отношению к 2021 году составил 117,9 %.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3D5CAF" w:rsidRDefault="00DE5FDD" w:rsidP="003D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II. Дошкольное образование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3D5CAF" w:rsidRDefault="00DE5FDD" w:rsidP="003D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D5CA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12"/>
          <w:szCs w:val="12"/>
        </w:rPr>
      </w:pPr>
    </w:p>
    <w:p w:rsidR="00DE5FDD" w:rsidRPr="003D5CAF" w:rsidRDefault="00DE5FDD" w:rsidP="003D5CAF">
      <w:pPr>
        <w:autoSpaceDE w:val="0"/>
        <w:autoSpaceDN w:val="0"/>
        <w:adjustRightInd w:val="0"/>
        <w:spacing w:after="0" w:line="240" w:lineRule="auto"/>
        <w:ind w:righ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По состоянию на 1 января 2023 года в районе функционировало 5 муниципальных дошкольных образовательных учреждений (далее - ДОУ) и 4 филиала муниципальных дошкольных образовательных учреждений на 665 мест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К</w:t>
      </w:r>
      <w:r>
        <w:rPr>
          <w:rFonts w:ascii="Times New Roman CYR" w:hAnsi="Times New Roman CYR" w:cs="Times New Roman CYR"/>
          <w:sz w:val="28"/>
          <w:szCs w:val="28"/>
        </w:rPr>
        <w:t>оличество детей, посещающих детские учреждения 601 ребенок. Доля детей в возрасте 1 - 6 лет, получающих дошкольную образовательную услугу в общей численности детей в возрасте 1 - 6 лет, составляет 65,4%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3D5CAF" w:rsidRDefault="00DE5FDD" w:rsidP="003D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3D5CA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DE5FDD" w:rsidRDefault="00DE5FDD" w:rsidP="003D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 составляет 0%.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0F3A31" w:rsidRDefault="00DE5FDD" w:rsidP="00DE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18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Здание МБДОУ «Дзержинский детский сад № 1 «Чебурашка» требует капитального ремонта. Доля муниципальных дошкольных образовательных учреждений, здания которых требуют капитального ремонта, составляет 20%.                        </w:t>
      </w: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ind w:right="18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дефицитом бюджета материально-техническое обеспечение дошкольных образовательных учреждений требует серьезного обновления. В рамках внедрения ФГОС необходимо обогащать образовательную среду игрушками, дидактическими материалами, соврем</w:t>
      </w:r>
      <w:r w:rsidR="000F3A31">
        <w:rPr>
          <w:rFonts w:ascii="Times New Roman CYR" w:hAnsi="Times New Roman CYR" w:cs="Times New Roman CYR"/>
          <w:sz w:val="28"/>
          <w:szCs w:val="28"/>
        </w:rPr>
        <w:t xml:space="preserve">енной мебелью и компьютерами. 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III. Общее и дополнительное образование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18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системе общего образования Дзержинского района функционируют восемь общеобразовательных школ, которые имеют два филиала; два учреждения дополнительного образования (ДЮСШ, ЦВР).     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18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выпускников общеобразовательных школ района 80 человек.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18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Аттестат о среднем общем образовании получили 79 (98,75 %) выпускника общеобразовательных школ. Доля выпускников, не получивших аттестат об общем образовании в 2022 году - 1,25 %.     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создания необходимых (базовых) условий для реализации основных образовательных стандартов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оборудованием, обеспечение учебниками, повышение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квалификации учителей и руководителей общеобразовательных учреждений района, также организован подвоз обучающихся в школы.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все школы района обеспечены необходимым комплектом оборудования для реализации федеральных государственных образовательных стандартов начального и основного общего образования.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Все учащиеся школ района обеспечены бесплатными учебниками по обязательным для изучения предметам в полном объёме.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Школы района подключены к сети Интернет. У каждого общеобразовательного учреждения района имеется Интернет-сайт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отражающий результаты деятельности учреждения и содержащий информацию, обязательную для размещения на сайте в соответствии с действующим законодательством. В 87% общеобразовательных учреждений района имеются физкультурные залы (в 7 из 8 школ, являющихся юридическими лицами)</w:t>
      </w: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</w:t>
      </w:r>
      <w:r w:rsidR="000F3A31">
        <w:rPr>
          <w:rFonts w:ascii="Times New Roman CYR" w:hAnsi="Times New Roman CYR" w:cs="Times New Roman CYR"/>
          <w:sz w:val="28"/>
          <w:szCs w:val="28"/>
        </w:rPr>
        <w:t>льных учреждений составила 75%.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состоянию на 01.01.2023 года отсутствуют аварийные здания. Здание МБОУ Дзержинская СШ №1, МБОУ Дзержинской СШ №2 (четыре корпуса),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Курайской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Денисовской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 (два корпуса) требует капитального ремонта (всего 8 зданий из 21).  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16. Доля детей первой и второй групп здоровья в общей численности обучающихся в муниципальных общеобразовательных учреждениях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Приоритетным направлением деятельности образовательных учреждений района является сохранение и укрепление здоровья подрастающего поколения.</w:t>
      </w: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Доля детей первой и второй групп здоровья в общей численности, </w:t>
      </w:r>
      <w:r w:rsidR="000F3A31">
        <w:rPr>
          <w:rFonts w:ascii="Times New Roman CYR" w:hAnsi="Times New Roman CYR" w:cs="Times New Roman CYR"/>
          <w:sz w:val="28"/>
          <w:szCs w:val="28"/>
        </w:rPr>
        <w:t>обучающихся в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муниципальных общеобразовательных </w:t>
      </w:r>
      <w:r w:rsidR="000F3A31">
        <w:rPr>
          <w:rFonts w:ascii="Times New Roman CYR" w:hAnsi="Times New Roman CYR" w:cs="Times New Roman CYR"/>
          <w:sz w:val="28"/>
          <w:szCs w:val="28"/>
        </w:rPr>
        <w:t>учреждениях, составила 80,11 %.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2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обучающихся в муниципальных общеобразовательных учреждениях, занимающихся во вторую смену, в общей численности, обучающихся в муниципальных общеобразовательных учреждениях, составила 5,9 %.  (101 обучающихся из общего количества 1715 чел.)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2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Обучение во вторую смену осуществляют два общеобразовательных учреждения из 8 оказывающих образовательную услугу, за счет увеличения количества классов начальной школы.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2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Обучение в третью смену в общеобразовательных учреждениях района не осуществляется.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По итогам 2022 года расходы бюджета муниципального образования на общее образование в расчете на одного обучающегося в муниципальных общеобразовательных учреждениях составили 59,78 тыс. рублей.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32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дополнительного образования в районе представлена тремя учреждениями дополнительного образования детей: МБОУ ДОД «Центр внешкольной работы», МБОУ ДОД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Детско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–юношеская спортивная школа», МБОУ ДОД «Дзержинская школа искусств», находящихся в ведении органа управления культуры, (учащиеся школы искусств на онлайн платформе дополнительного образования «Навигатор»  не зарегистрированы),  а также учреждениями МБОУ Дзержинская СШ № 2,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Курайская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Усольская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Денисовская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Шеломковская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 и МБДОУ д/с № 3 «Тополек», и кружками и секциями на базе образовательных учреждений.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3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учреждениях дополнительного образования и </w:t>
      </w:r>
      <w:r w:rsidR="000F3A31">
        <w:rPr>
          <w:rFonts w:ascii="Times New Roman CYR" w:hAnsi="Times New Roman CYR" w:cs="Times New Roman CYR"/>
          <w:sz w:val="28"/>
          <w:szCs w:val="28"/>
        </w:rPr>
        <w:t>в общеобразовательных учреждениях,</w:t>
      </w:r>
      <w:r>
        <w:rPr>
          <w:rFonts w:ascii="Times New Roman CYR" w:hAnsi="Times New Roman CYR" w:cs="Times New Roman CYR"/>
          <w:sz w:val="28"/>
          <w:szCs w:val="28"/>
        </w:rPr>
        <w:t xml:space="preserve"> имеющих лицензию на дополнительное образование в объединениях технического творчества, спортивного, культурологического, социально-педагогического, естественнонаучного и художественно-эстетического творчества занимаются 1161 человек, зарегистрированных на онлайн платформе дополнительного образования «Навигатор».  Существующая в районе система дополнительного образования обеспечивает занятость 56,59 % школьников. По сравнению с 2021 годом произошло увеличение значения данного показателя.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IV. Культура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20. Уровень фактической обеспеченности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учреждениями культуры от нормативной потребности: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2022 году сеть муниципальных учреждений культуры состояла из 45 учреждений, в том числе 23 учреждения культурно-досугового типа, 20 библиотек, 1 музей, 1 детская школа искусств.  Число учреждений уменьшилось в связи с пожаром в конце 2021 года в клубе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Семёновка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За счёт средств государственной программы «Развитие культуры и туризма» господдержку получили три лучших муниципальных учреждения культуры, выделено по 100 000 рублей каждому. </w:t>
      </w:r>
    </w:p>
    <w:p w:rsidR="00DE5FDD" w:rsidRDefault="00DE5FDD" w:rsidP="00DE5F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Получена и реализована субсидия на обеспечение развития и укрепления материально-технической базы муниципальных домов культуры в населённых пунктах с числом жителей до 50 тысяч человек в размере 597 116,00 рублей (в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т.ч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местный бюджет 6 859,00 рублей) приобрели музыкальное оборудование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Денисовский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СДК, текущий ремонт в Нижне-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Танайском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СДК.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За счёт средств государственной программы «Содействие развитию местного самоуправления» отремонтированы воинские захоронения, находящиеся на территории района на сумму 141 780,00 рублей (в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т.ч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 местный бюджет 14 180,00 рублей) отремонтированы могила 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Кайль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Усолка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могила красноармейца И.И. Власова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Шеломки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Усольская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сельская библиотека совместно с местной общественной организацией ветеранов, выиграла 33 580,00 рублей на реализацию проекта «Эко-десант»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грантовой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программе Партнёрство.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Модельная детская библиотека стала победителем в открытом конкурсе благотворительного фонда «Хорошие истории» социально-значимых проектов для старшего поколения «Серебряный возраст» с проектом «Сказки на песке», сумма проекта составила 81 050,00 рублей.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Благотворительный фонд Иланского района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БлагоДарю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выделил субсидию 12 000,0 рублей на мероприятие День студента в РДК, и 12 000,00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рублей взрослой библиотеке на творческую мастерскую «Город Мастеров».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Учреждения культуры в конкурсе «Территория Красноярский край» получили поддержку проектов «Воплощай» 5200,00 рублей (библиотека), «Ассамблея искусств» 13 350,00 рублей (ДШИ), «Волейбольная площадка» 9150,00 рублей (Н-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Танайский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СДК).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ab/>
        <w:t>Из бюджета муниципального образования выделено: на приобретение периодических изданий 213 535,84 рублей; на создание модельных муниципальных библиотек в рамках национального проекта «Культура» 300 000,00 рублей.</w:t>
      </w: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Из краевого бюджета по государственной программе «Развитие культуры» на комплектование библиотек было выделено 403 750,00 рублей, т.е. в среднем в год на 1 библиотеку по 20 187,00 рублей. Средства федерального бюджета на комплектование составили 311 900,00 рублей, из них,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софинансирование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местного бюджета составило 83 901,00 рублей.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</w:t>
      </w:r>
    </w:p>
    <w:p w:rsidR="00DE5FDD" w:rsidRPr="000F3A31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клубами и учреждениями клубного типа;</w:t>
      </w: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Уровень фактической обеспеченности клубами и учреждениями клубного типа в 2022 году составляет 100%. </w:t>
      </w:r>
    </w:p>
    <w:p w:rsidR="00DE5FDD" w:rsidRPr="000F3A31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библиотеками;</w:t>
      </w:r>
    </w:p>
    <w:p w:rsidR="00DE5FDD" w:rsidRPr="000F3A31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Обеспеченность библиотеками соответствует нормативу - 100%.</w:t>
      </w:r>
    </w:p>
    <w:p w:rsidR="00DE5FDD" w:rsidRPr="000F3A31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парками культуры и отдыха.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Парков культуры и отдыха на территории района нет.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Материально-техническая база муниципальных учреждений культуры и образовательных организаций в области культуры характеризуется высокой степенью износа. По состоянию на 01.01.2023 капитального ремонта требуют 16 зданий. Учреждения культуры, требующие капитального ремонта: </w:t>
      </w:r>
    </w:p>
    <w:p w:rsidR="00DE5FDD" w:rsidRDefault="00DE5FDD" w:rsidP="00DE5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Дзержинский РДК, </w:t>
      </w:r>
    </w:p>
    <w:p w:rsidR="00DE5FDD" w:rsidRDefault="00DE5FDD" w:rsidP="00DE5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Дзержинский музей, </w:t>
      </w:r>
    </w:p>
    <w:p w:rsidR="00DE5FDD" w:rsidRDefault="00DE5FDD" w:rsidP="00DE5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Александро-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Ершинский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СДК,</w:t>
      </w:r>
    </w:p>
    <w:p w:rsidR="00DE5FDD" w:rsidRDefault="00DE5FDD" w:rsidP="00DE5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Чурюковский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DE5FDD" w:rsidRDefault="00DE5FDD" w:rsidP="00DE5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Николаевский СК</w:t>
      </w:r>
    </w:p>
    <w:p w:rsidR="00DE5FDD" w:rsidRDefault="00DE5FDD" w:rsidP="00DE5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Шеломковский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</w:t>
      </w:r>
    </w:p>
    <w:p w:rsidR="00DE5FDD" w:rsidRDefault="00DE5FDD" w:rsidP="00DE5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Батовский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DE5FDD" w:rsidRDefault="00DE5FDD" w:rsidP="00DE5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Канарайский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DE5FDD" w:rsidRDefault="00DE5FDD" w:rsidP="00DE5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Макаровский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DE5FDD" w:rsidRDefault="00DE5FDD" w:rsidP="00DE5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Денисовский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</w:t>
      </w:r>
    </w:p>
    <w:p w:rsidR="00DE5FDD" w:rsidRDefault="00DE5FDD" w:rsidP="00DE5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Кондратьевский СК</w:t>
      </w:r>
    </w:p>
    <w:p w:rsidR="00DE5FDD" w:rsidRDefault="00DE5FDD" w:rsidP="00DE5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Таловский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DE5FDD" w:rsidRDefault="00DE5FDD" w:rsidP="00DE5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Петровский СК</w:t>
      </w:r>
    </w:p>
    <w:p w:rsidR="00DE5FDD" w:rsidRDefault="00DE5FDD" w:rsidP="00DE5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Дзержинская взрослая библиотека</w:t>
      </w:r>
    </w:p>
    <w:p w:rsidR="00DE5FDD" w:rsidRDefault="00DE5FDD" w:rsidP="00DE5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Михайловский СК</w:t>
      </w:r>
    </w:p>
    <w:p w:rsidR="00DE5FDD" w:rsidRDefault="00DE5FDD" w:rsidP="00DE5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Нижнетанайский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</w:t>
      </w:r>
    </w:p>
    <w:p w:rsidR="00DE5FDD" w:rsidRDefault="00DE5FDD" w:rsidP="00DE5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ДШИ</w:t>
      </w: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Доля муниципальных учреждений культуры, здания которых находятся в аварийном состоянии или требуют капитальн</w:t>
      </w:r>
      <w:r w:rsidR="000F3A31">
        <w:rPr>
          <w:rFonts w:ascii="Times New Roman CYR" w:hAnsi="Times New Roman CYR" w:cs="Times New Roman CYR"/>
          <w:sz w:val="28"/>
          <w:szCs w:val="28"/>
        </w:rPr>
        <w:t>ого ремонта, составляет 37,78%.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DE5FDD" w:rsidRDefault="00DE5FDD" w:rsidP="00DE5FDD">
      <w:pPr>
        <w:autoSpaceDE w:val="0"/>
        <w:autoSpaceDN w:val="0"/>
        <w:adjustRightInd w:val="0"/>
        <w:spacing w:after="0" w:line="252" w:lineRule="auto"/>
        <w:ind w:right="26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В собственности муниципального образования Дзержинский район находится 7 объектов культурного наследия:</w:t>
      </w:r>
    </w:p>
    <w:p w:rsidR="00DE5FDD" w:rsidRDefault="00DE5FDD" w:rsidP="00DE5FDD">
      <w:pPr>
        <w:autoSpaceDE w:val="0"/>
        <w:autoSpaceDN w:val="0"/>
        <w:adjustRightInd w:val="0"/>
        <w:spacing w:after="0" w:line="252" w:lineRule="auto"/>
        <w:ind w:left="140" w:right="260" w:firstLine="64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1.Братская могила 12 партизан, погибших в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Улюкольском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бою в декабре 1919 г. деревня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Улюколь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;</w:t>
      </w:r>
    </w:p>
    <w:p w:rsidR="00DE5FDD" w:rsidRDefault="00DE5FDD" w:rsidP="00DE5FDD">
      <w:pPr>
        <w:autoSpaceDE w:val="0"/>
        <w:autoSpaceDN w:val="0"/>
        <w:adjustRightInd w:val="0"/>
        <w:spacing w:after="0" w:line="252" w:lineRule="auto"/>
        <w:ind w:left="140" w:right="260" w:firstLine="30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   2.Братская могила 2 жителей села, расстрелянных колчаковцами за связь с партизанами деревня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Чурюково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;</w:t>
      </w:r>
    </w:p>
    <w:p w:rsidR="00DE5FDD" w:rsidRDefault="00DE5FDD" w:rsidP="00DE5FDD">
      <w:pPr>
        <w:autoSpaceDE w:val="0"/>
        <w:autoSpaceDN w:val="0"/>
        <w:adjustRightInd w:val="0"/>
        <w:spacing w:after="0" w:line="252" w:lineRule="auto"/>
        <w:ind w:right="26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        3. Братская могила 3 партизан, расстрелянных колчаковцами в 1919 г. село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Курай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;</w:t>
      </w:r>
    </w:p>
    <w:p w:rsidR="00DE5FDD" w:rsidRDefault="00DE5FDD" w:rsidP="00DE5FDD">
      <w:pPr>
        <w:autoSpaceDE w:val="0"/>
        <w:autoSpaceDN w:val="0"/>
        <w:adjustRightInd w:val="0"/>
        <w:spacing w:after="0" w:line="252" w:lineRule="auto"/>
        <w:ind w:right="26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        4. Братская могила девяти жителей села Дзержинского, расстрелянных карательным отрядом за связь с партизанами в феврале 1919 </w:t>
      </w:r>
      <w:r w:rsidR="00FD5BB2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года,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село Дзержинское;</w:t>
      </w:r>
    </w:p>
    <w:p w:rsidR="00DE5FDD" w:rsidRDefault="00DE5FDD" w:rsidP="00DE5FDD">
      <w:pPr>
        <w:autoSpaceDE w:val="0"/>
        <w:autoSpaceDN w:val="0"/>
        <w:adjustRightInd w:val="0"/>
        <w:spacing w:after="0" w:line="252" w:lineRule="auto"/>
        <w:ind w:right="26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        5. Братская могила одиннадцати партизан из села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Денисово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, расстрелянных колчаковцами в 1919 г. село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Денисово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;</w:t>
      </w:r>
    </w:p>
    <w:p w:rsidR="00DE5FDD" w:rsidRDefault="00DE5FDD" w:rsidP="00DE5FDD">
      <w:pPr>
        <w:autoSpaceDE w:val="0"/>
        <w:autoSpaceDN w:val="0"/>
        <w:adjustRightInd w:val="0"/>
        <w:spacing w:after="0" w:line="252" w:lineRule="auto"/>
        <w:ind w:right="26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        6. Братская могила партизан и жителей села, погибших в борьбе за Советскую власть в 1919 г.  деревня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Канарай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;</w:t>
      </w:r>
    </w:p>
    <w:p w:rsidR="00DE5FDD" w:rsidRDefault="00DE5FDD" w:rsidP="00DE5FDD">
      <w:pPr>
        <w:autoSpaceDE w:val="0"/>
        <w:autoSpaceDN w:val="0"/>
        <w:adjustRightInd w:val="0"/>
        <w:spacing w:after="0" w:line="252" w:lineRule="auto"/>
        <w:ind w:right="260"/>
        <w:jc w:val="both"/>
        <w:rPr>
          <w:rFonts w:ascii="Calibri" w:hAnsi="Calibri" w:cs="Calibri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        7. Могила двух партизан, погибших в бою под д.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Улюколь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с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колчаковским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отрядом 19 декабря 1919 г.  село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Шеломки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Объектов культурного наследия, находящихся в муниципальной собственности и требующих консервации или реставрации, в общем количестве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объектов культурного наследия, находящихся в муниципальной собственности нет.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V. Физическая культура и спорт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23. Доля населения, систематически занимающегося физической культурой и спортом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течение 2022 года работа в районе была направлена на привлечение населения к систематическим занятиям физической культурой и спортом, сохранение материальной базы спорта. Такая деятельность положительно повлияла на достижение основных целевых показателей отрасли.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Наряду с муниципальной программой Дзержинского района «Развитие массовой физической культуры и спорта» в районе в 2022 году реализовывался Региональный проект «Спорт – норма жизни» в рамках федерального проекта «Спорт – норма жизни», входящего в состав национального проекта «Демография».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Целью реализации проекта является доведение в Дзержинском районе к 2024 году до 58% доли граждан, систематически занимающихся физической культурой и спортом.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За 2022 год достигнуты плановые значения по всем основным показателям регионального проекта.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В 2022 году у</w:t>
      </w:r>
      <w:r>
        <w:rPr>
          <w:rFonts w:ascii="Times New Roman CYR" w:hAnsi="Times New Roman CYR" w:cs="Times New Roman CYR"/>
          <w:color w:val="1A1A1A"/>
          <w:sz w:val="28"/>
          <w:szCs w:val="28"/>
          <w:u w:color="FF0000"/>
        </w:rPr>
        <w:t xml:space="preserve">величилась численность занимающихся физической культурой и </w:t>
      </w:r>
      <w:r w:rsidR="000F3A31">
        <w:rPr>
          <w:rFonts w:ascii="Times New Roman CYR" w:hAnsi="Times New Roman CYR" w:cs="Times New Roman CYR"/>
          <w:color w:val="1A1A1A"/>
          <w:sz w:val="28"/>
          <w:szCs w:val="28"/>
          <w:u w:color="FF0000"/>
        </w:rPr>
        <w:t>спортом –</w:t>
      </w:r>
      <w:r>
        <w:rPr>
          <w:rFonts w:ascii="Times New Roman CYR" w:hAnsi="Times New Roman CYR" w:cs="Times New Roman CYR"/>
          <w:color w:val="1A1A1A"/>
          <w:sz w:val="28"/>
          <w:szCs w:val="28"/>
          <w:u w:color="FF0000"/>
        </w:rPr>
        <w:t xml:space="preserve"> 5 654 чел. (49,15%), в 2021 году – 5 291 чел., (41,3%),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данный показатель увеличился на 7,85% по причине: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 </w:t>
      </w:r>
      <w:r>
        <w:rPr>
          <w:rFonts w:ascii="Times New Roman CYR" w:hAnsi="Times New Roman CYR" w:cs="Times New Roman CYR"/>
          <w:color w:val="1A1A1A"/>
          <w:sz w:val="28"/>
          <w:szCs w:val="28"/>
          <w:u w:color="FF0000"/>
        </w:rPr>
        <w:t xml:space="preserve">Увеличения численности занимающихся физической культурой в ШСК в 2022 году – 507 чел. (в 2021 году – 363 чел.),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данный показатель увеличился на 144 чел. по причине: увеличения числа школьных спортивных клубов</w:t>
      </w:r>
      <w:r>
        <w:rPr>
          <w:rFonts w:ascii="Times New Roman CYR" w:hAnsi="Times New Roman CYR" w:cs="Times New Roman CYR"/>
          <w:color w:val="1A1A1A"/>
          <w:sz w:val="28"/>
          <w:szCs w:val="28"/>
          <w:u w:color="FF0000"/>
        </w:rPr>
        <w:t xml:space="preserve"> в общеобразовательных учреждениях района до 7 шт. (в 2021 году – 1 шт.).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1A1A1A"/>
          <w:sz w:val="28"/>
          <w:szCs w:val="28"/>
          <w:u w:color="FF0000"/>
        </w:rPr>
        <w:t xml:space="preserve">- Увеличения численности занимающихся адаптивной физической культурой и спортом в 2022 году – 48 чел. (в 2021 году – 27 чел.),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данный показатель увеличился на 21 чел. по причине: увеличения учреждений по адаптивной физической культуре и спорту до 4 шт. (в 2021 году – 3 шт.).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 </w:t>
      </w:r>
      <w:r>
        <w:rPr>
          <w:rFonts w:ascii="Times New Roman CYR" w:hAnsi="Times New Roman CYR" w:cs="Times New Roman CYR"/>
          <w:color w:val="1A1A1A"/>
          <w:sz w:val="28"/>
          <w:szCs w:val="28"/>
          <w:u w:color="FF0000"/>
        </w:rPr>
        <w:t xml:space="preserve">Увеличения численности занимающихся физической культурой и спортом в учреждении дополнительного образования детей в 2022 году – 853 чел. (в 2021 </w:t>
      </w:r>
      <w:r w:rsidR="000F3A31">
        <w:rPr>
          <w:rFonts w:ascii="Times New Roman CYR" w:hAnsi="Times New Roman CYR" w:cs="Times New Roman CYR"/>
          <w:color w:val="1A1A1A"/>
          <w:sz w:val="28"/>
          <w:szCs w:val="28"/>
          <w:u w:color="FF0000"/>
        </w:rPr>
        <w:t>году –</w:t>
      </w:r>
      <w:r>
        <w:rPr>
          <w:rFonts w:ascii="Times New Roman CYR" w:hAnsi="Times New Roman CYR" w:cs="Times New Roman CYR"/>
          <w:color w:val="1A1A1A"/>
          <w:sz w:val="28"/>
          <w:szCs w:val="28"/>
          <w:u w:color="FF0000"/>
        </w:rPr>
        <w:t xml:space="preserve"> 813 чел.),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данный показатель увеличился на 40 чел. по причине работы на базе МБУ ДО «ДЮСШ» разновозрастных групп здоровья и внедрения корпоративного спорта в учреждении.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 </w:t>
      </w:r>
      <w:r>
        <w:rPr>
          <w:rFonts w:ascii="Times New Roman CYR" w:hAnsi="Times New Roman CYR" w:cs="Times New Roman CYR"/>
          <w:color w:val="1A1A1A"/>
          <w:sz w:val="28"/>
          <w:szCs w:val="28"/>
          <w:u w:color="FF0000"/>
        </w:rPr>
        <w:t xml:space="preserve">Увеличения численности занимающихся физической культурой и спортом в 17 учреждениях и организациях Дзержинского района в 2022 году – 812 чел. (в 2021 году – 272 чел.),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данный показатель увеличился на 540 чел. по причине внедрения корпоративного спорта в учреждениях и организациях.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 </w:t>
      </w:r>
      <w:r>
        <w:rPr>
          <w:rFonts w:ascii="Times New Roman CYR" w:hAnsi="Times New Roman CYR" w:cs="Times New Roman CYR"/>
          <w:color w:val="1A1A1A"/>
          <w:sz w:val="28"/>
          <w:szCs w:val="28"/>
          <w:u w:color="FF0000"/>
        </w:rPr>
        <w:t xml:space="preserve">Увеличения численности занимающихся физической культурой и спортом в физкультурно-спортивных клубах в 2022 году – 986 чел. (в 2021 году – 779 чел.),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данный показатель увеличился на 207 чел. по причине открытия фитнес клуба на базе МБУ ДО «Центр внешкольной работы» (разновозрастные группы).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 В 2022 году уровень обеспеченности граждан спортивными сооружениями исходя из единовременной пропускной способности объектов спорта составила 82,91%, в 2021 году 61,2%, данный показатель увеличился на 21,71%. </w:t>
      </w: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Из общего числа жителей 11504 человека, в возрасте от 3 до 79 лет, к занятиям физической культурой и спортом в районе привлечено 5654 человека или 49,15% от общего числа жителей. Этот показатель увеличился по сравнению с 2021 годом на 8,12% (в рамках безденежного соглашения на 2022 год данный показатель для нашего </w:t>
      </w:r>
      <w:r w:rsidR="000F3A31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района выполнен).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23.1. Доля обучающихся, систематически занимающихся физической культурой и спортом, в общей численности обучающихся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3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В целом по району доля обучающихся, систематически занимающихся физической культурой и спортом, в общей численности, обучающихся в 2022 году составила 100%, также </w:t>
      </w:r>
      <w:r w:rsidR="000F3A31">
        <w:rPr>
          <w:rFonts w:ascii="Times New Roman CYR" w:hAnsi="Times New Roman CYR" w:cs="Times New Roman CYR"/>
          <w:sz w:val="28"/>
          <w:szCs w:val="28"/>
          <w:u w:color="FF0000"/>
        </w:rPr>
        <w:t>как в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2021 году   100%.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VI. Жилищное строительство и обеспечение граждан жильем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24. Общая площадь жилых помещений, приходящаяся в среднем на одного жителя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По данным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Красноярскстата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в 2022 году жилищный фонд района уменьшился на 3% по сравнению с 2021 годом и составил 343130 тыс. кв. метров. Уменьшение произошло в связи с проведением инвентаризации жилищного фонда.  В связи </w:t>
      </w:r>
      <w:r w:rsidR="000F3A31">
        <w:rPr>
          <w:rFonts w:ascii="Times New Roman CYR" w:hAnsi="Times New Roman CYR" w:cs="Times New Roman CYR"/>
          <w:sz w:val="28"/>
          <w:szCs w:val="28"/>
          <w:u w:color="FF0000"/>
        </w:rPr>
        <w:t>с пожаром,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произошедшим 7 мая 2022 года в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с.Курай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и д.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Ашпатск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Курайского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сельсовета, огнем уничтожено большое количество жилого фонда. В 2023 году планируется </w:t>
      </w:r>
      <w:r w:rsidR="000F3A31">
        <w:rPr>
          <w:rFonts w:ascii="Times New Roman CYR" w:hAnsi="Times New Roman CYR" w:cs="Times New Roman CYR"/>
          <w:sz w:val="28"/>
          <w:szCs w:val="28"/>
          <w:u w:color="FF0000"/>
        </w:rPr>
        <w:t>ввести 2270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жилья, в 2024 году - 2383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., в 2025  году - 2502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0" w:type="auto"/>
        <w:tblInd w:w="-426" w:type="dxa"/>
        <w:tblLayout w:type="fixed"/>
        <w:tblLook w:val="0000" w:firstRow="0" w:lastRow="0" w:firstColumn="0" w:lastColumn="0" w:noHBand="0" w:noVBand="0"/>
      </w:tblPr>
      <w:tblGrid>
        <w:gridCol w:w="10986"/>
        <w:gridCol w:w="1149"/>
        <w:gridCol w:w="1276"/>
        <w:gridCol w:w="1418"/>
        <w:gridCol w:w="1134"/>
        <w:gridCol w:w="1276"/>
        <w:gridCol w:w="236"/>
      </w:tblGrid>
      <w:tr w:rsidR="00DE5FDD">
        <w:trPr>
          <w:trHeight w:val="300"/>
        </w:trPr>
        <w:tc>
          <w:tcPr>
            <w:tcW w:w="10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40"/>
              <w:gridCol w:w="1180"/>
              <w:gridCol w:w="1060"/>
              <w:gridCol w:w="1060"/>
              <w:gridCol w:w="1060"/>
              <w:gridCol w:w="1060"/>
            </w:tblGrid>
            <w:tr w:rsidR="00DE5FDD">
              <w:trPr>
                <w:trHeight w:val="518"/>
              </w:trPr>
              <w:tc>
                <w:tcPr>
                  <w:tcW w:w="5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Наименование показателя и единицы измерения</w:t>
                  </w:r>
                </w:p>
              </w:tc>
              <w:tc>
                <w:tcPr>
                  <w:tcW w:w="542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Значения показателя</w:t>
                  </w:r>
                </w:p>
              </w:tc>
            </w:tr>
            <w:tr w:rsidR="00DE5FDD">
              <w:trPr>
                <w:trHeight w:val="600"/>
              </w:trPr>
              <w:tc>
                <w:tcPr>
                  <w:tcW w:w="5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2021 факт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2022 факт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2023 оценка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2024 прогноз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2025 прогноз</w:t>
                  </w:r>
                </w:p>
              </w:tc>
            </w:tr>
            <w:tr w:rsidR="00DE5FDD">
              <w:trPr>
                <w:trHeight w:val="900"/>
              </w:trPr>
              <w:tc>
                <w:tcPr>
                  <w:tcW w:w="5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 xml:space="preserve">1. Общая площадь жилых помещений,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кв.м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i/>
                      <w:iCs/>
                      <w:color w:val="000000"/>
                      <w:u w:color="FF0000"/>
                    </w:rPr>
                    <w:t xml:space="preserve"> (по данным статистического отчета 1-жилфонд строка 01 графа 1)</w:t>
                  </w:r>
                </w:p>
              </w:tc>
              <w:tc>
                <w:tcPr>
                  <w:tcW w:w="11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351 010,00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343 130,00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345 400,00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347 783,00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350 285,00</w:t>
                  </w:r>
                </w:p>
              </w:tc>
            </w:tr>
            <w:tr w:rsidR="00DE5FDD">
              <w:trPr>
                <w:trHeight w:val="600"/>
              </w:trPr>
              <w:tc>
                <w:tcPr>
                  <w:tcW w:w="5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 xml:space="preserve">2. Введено жилых помещений за отчетный период,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кв.м</w:t>
                  </w:r>
                  <w:proofErr w:type="spellEnd"/>
                </w:p>
              </w:tc>
              <w:tc>
                <w:tcPr>
                  <w:tcW w:w="11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1 671,00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2 162,00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2 270,00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2 383,00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2 502,00</w:t>
                  </w:r>
                </w:p>
              </w:tc>
            </w:tr>
            <w:tr w:rsidR="00DE5FDD" w:rsidTr="00FD5BB2">
              <w:trPr>
                <w:trHeight w:val="600"/>
              </w:trPr>
              <w:tc>
                <w:tcPr>
                  <w:tcW w:w="5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 xml:space="preserve">3. Выбыло жилых помещений за отчетный период,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кв.м</w:t>
                  </w:r>
                  <w:proofErr w:type="spellEnd"/>
                </w:p>
              </w:tc>
              <w:tc>
                <w:tcPr>
                  <w:tcW w:w="11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0,00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7 880,00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0,00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0,00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0,00</w:t>
                  </w:r>
                </w:p>
              </w:tc>
            </w:tr>
            <w:tr w:rsidR="00DE5FDD">
              <w:trPr>
                <w:trHeight w:val="900"/>
              </w:trPr>
              <w:tc>
                <w:tcPr>
                  <w:tcW w:w="5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4.</w:t>
                  </w:r>
                  <w:r>
                    <w:rPr>
                      <w:rFonts w:ascii="Times New Roman CYR" w:hAnsi="Times New Roman CYR" w:cs="Times New Roman CYR"/>
                      <w:color w:val="C00000"/>
                      <w:u w:color="FF0000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 xml:space="preserve">Численность постоянного населения муниципального, городского округа (муниципального района)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C00000"/>
                      <w:u w:color="FF0000"/>
                    </w:rPr>
                    <w:t>на</w:t>
                  </w: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C00000"/>
                      <w:u w:color="FF0000"/>
                    </w:rPr>
                    <w:t>конец отчетного года</w:t>
                  </w: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, чел.</w:t>
                  </w:r>
                </w:p>
              </w:tc>
              <w:tc>
                <w:tcPr>
                  <w:tcW w:w="11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12 404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11 589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10 732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10 471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u w:color="FF0000"/>
                    </w:rPr>
                    <w:t>10 234</w:t>
                  </w:r>
                </w:p>
              </w:tc>
            </w:tr>
            <w:tr w:rsidR="00DE5FDD">
              <w:trPr>
                <w:trHeight w:val="855"/>
              </w:trPr>
              <w:tc>
                <w:tcPr>
                  <w:tcW w:w="5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u w:color="FF0000"/>
                    </w:rPr>
                    <w:t>5. Общая площадь жилых помещений, приходящаяся в среднем на одного жителя (стр. 1/ стр.4)</w:t>
                  </w:r>
                </w:p>
              </w:tc>
              <w:tc>
                <w:tcPr>
                  <w:tcW w:w="11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u w:color="FF0000"/>
                    </w:rPr>
                    <w:t>28,30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u w:color="FF0000"/>
                    </w:rPr>
                    <w:t>29,61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u w:color="FF0000"/>
                    </w:rPr>
                    <w:t>32,18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u w:color="FF0000"/>
                    </w:rPr>
                    <w:t>33,21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u w:color="FF000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u w:color="FF0000"/>
                    </w:rPr>
                    <w:t>34,23</w:t>
                  </w:r>
                </w:p>
              </w:tc>
            </w:tr>
            <w:tr w:rsidR="00DE5FDD">
              <w:trPr>
                <w:trHeight w:val="300"/>
              </w:trPr>
              <w:tc>
                <w:tcPr>
                  <w:tcW w:w="5340" w:type="dxa"/>
                  <w:vAlign w:val="bottom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u w:color="FF0000"/>
                    </w:rPr>
                  </w:pPr>
                </w:p>
              </w:tc>
              <w:tc>
                <w:tcPr>
                  <w:tcW w:w="1180" w:type="dxa"/>
                  <w:vAlign w:val="bottom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0"/>
                      <w:szCs w:val="20"/>
                      <w:u w:color="FF0000"/>
                    </w:rPr>
                  </w:pPr>
                </w:p>
              </w:tc>
              <w:tc>
                <w:tcPr>
                  <w:tcW w:w="1060" w:type="dxa"/>
                  <w:vAlign w:val="bottom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0"/>
                      <w:szCs w:val="20"/>
                      <w:u w:color="FF0000"/>
                    </w:rPr>
                  </w:pPr>
                </w:p>
              </w:tc>
              <w:tc>
                <w:tcPr>
                  <w:tcW w:w="1060" w:type="dxa"/>
                  <w:vAlign w:val="bottom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0"/>
                      <w:szCs w:val="20"/>
                      <w:u w:color="FF0000"/>
                    </w:rPr>
                  </w:pPr>
                </w:p>
              </w:tc>
              <w:tc>
                <w:tcPr>
                  <w:tcW w:w="1060" w:type="dxa"/>
                  <w:vAlign w:val="bottom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0"/>
                      <w:szCs w:val="20"/>
                      <w:u w:color="FF0000"/>
                    </w:rPr>
                  </w:pPr>
                </w:p>
              </w:tc>
              <w:tc>
                <w:tcPr>
                  <w:tcW w:w="1060" w:type="dxa"/>
                  <w:vAlign w:val="bottom"/>
                </w:tcPr>
                <w:p w:rsidR="00DE5FDD" w:rsidRDefault="00DE5F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0"/>
                      <w:szCs w:val="20"/>
                      <w:u w:color="FF0000"/>
                    </w:rPr>
                  </w:pPr>
                </w:p>
              </w:tc>
            </w:tr>
          </w:tbl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</w:tbl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0F3A31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lastRenderedPageBreak/>
        <w:t>24.1. в том числе введенная в действие за один год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За отчетный период введено 2162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общей площади жилья, что составило 129,4 % к уровню 2021 года.   Застройка ведется индивидуальными застройщиками, носит заявительный характер.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Общая площадь жилых помещений, приходящаяся в среднем на одного жителя за 2022 год, составила 29,61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В 2022 году введено 18 индивидуальных жилых домов, общей площадью 2162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Общая </w:t>
      </w:r>
      <w:r w:rsidR="000F3A31">
        <w:rPr>
          <w:rFonts w:ascii="Times New Roman CYR" w:hAnsi="Times New Roman CYR" w:cs="Times New Roman CYR"/>
          <w:sz w:val="28"/>
          <w:szCs w:val="28"/>
          <w:u w:color="FF0000"/>
        </w:rPr>
        <w:t>площадь жилых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помещений, приходящаяся в среднем на одного жителя, введенная в действие за 2022 год составила 0,18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. Показатель </w:t>
      </w:r>
      <w:r w:rsidR="000F3A31">
        <w:rPr>
          <w:rFonts w:ascii="Times New Roman CYR" w:hAnsi="Times New Roman CYR" w:cs="Times New Roman CYR"/>
          <w:sz w:val="28"/>
          <w:szCs w:val="28"/>
          <w:u w:color="FF0000"/>
        </w:rPr>
        <w:t>повысился к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уровню 2021 года.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00"/>
        <w:gridCol w:w="960"/>
        <w:gridCol w:w="960"/>
        <w:gridCol w:w="960"/>
        <w:gridCol w:w="960"/>
        <w:gridCol w:w="961"/>
      </w:tblGrid>
      <w:tr w:rsidR="00DE5FDD" w:rsidTr="00FD5BB2">
        <w:trPr>
          <w:trHeight w:val="518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DE5FDD">
        <w:trPr>
          <w:trHeight w:val="570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2021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прогноз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</w:tr>
      <w:tr w:rsidR="00DE5FDD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1. Введено всего,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1 671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2 383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2 502</w:t>
            </w:r>
          </w:p>
        </w:tc>
      </w:tr>
      <w:tr w:rsidR="00DE5FDD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1.1. индивидуальное жилищное строительство,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1 671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2 383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2 502</w:t>
            </w:r>
          </w:p>
        </w:tc>
      </w:tr>
      <w:tr w:rsidR="00DE5FDD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1.2. многоквартирное строительство,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</w:tr>
      <w:tr w:rsidR="00DE5FDD">
        <w:trPr>
          <w:trHeight w:val="9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2.</w:t>
            </w:r>
            <w:r>
              <w:rPr>
                <w:rFonts w:ascii="Times New Roman CYR" w:hAnsi="Times New Roman CYR" w:cs="Times New Roman CYR"/>
                <w:color w:val="C00000"/>
                <w:u w:color="FF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  <w:u w:color="FF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10 951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10 602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10 353</w:t>
            </w:r>
          </w:p>
        </w:tc>
      </w:tr>
      <w:tr w:rsidR="00DE5FDD">
        <w:trPr>
          <w:trHeight w:val="8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0,24</w:t>
            </w:r>
          </w:p>
        </w:tc>
      </w:tr>
    </w:tbl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25. Площадь земельных участков, предоставленных для строительства, в расчете на 10 тыс. человек населения,</w:t>
      </w: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4"/>
          <w:szCs w:val="24"/>
          <w:u w:color="FF0000"/>
        </w:rPr>
      </w:pPr>
    </w:p>
    <w:tbl>
      <w:tblPr>
        <w:tblW w:w="10221" w:type="dxa"/>
        <w:tblLayout w:type="fixed"/>
        <w:tblLook w:val="0000" w:firstRow="0" w:lastRow="0" w:firstColumn="0" w:lastColumn="0" w:noHBand="0" w:noVBand="0"/>
      </w:tblPr>
      <w:tblGrid>
        <w:gridCol w:w="5245"/>
        <w:gridCol w:w="1134"/>
        <w:gridCol w:w="992"/>
        <w:gridCol w:w="864"/>
        <w:gridCol w:w="959"/>
        <w:gridCol w:w="1027"/>
      </w:tblGrid>
      <w:tr w:rsidR="00DE5FDD" w:rsidTr="00FD5BB2">
        <w:trPr>
          <w:trHeight w:val="1598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FDD" w:rsidRPr="00FD5BB2" w:rsidRDefault="00DE5FDD">
            <w:pPr>
              <w:autoSpaceDE w:val="0"/>
              <w:autoSpaceDN w:val="0"/>
              <w:adjustRightInd w:val="0"/>
              <w:spacing w:after="0" w:line="240" w:lineRule="auto"/>
              <w:ind w:right="480" w:firstLine="900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 w:rsidRPr="00FD5BB2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Площадь земельных участков, предоставленных для строительства, в расчете на 10 тыс. человек </w:t>
            </w:r>
            <w:r w:rsidR="000F3A31" w:rsidRPr="00FD5BB2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населения в</w:t>
            </w:r>
            <w:r w:rsidRPr="00FD5BB2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 2021 году составляет 2,3 га, в 2022 году -  3,1 га. </w:t>
            </w:r>
          </w:p>
          <w:p w:rsidR="00DE5FDD" w:rsidRPr="00FD5BB2" w:rsidRDefault="00DE5FDD">
            <w:pPr>
              <w:autoSpaceDE w:val="0"/>
              <w:autoSpaceDN w:val="0"/>
              <w:adjustRightInd w:val="0"/>
              <w:spacing w:after="0" w:line="240" w:lineRule="auto"/>
              <w:ind w:right="480" w:firstLine="900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 w:rsidRPr="00FD5BB2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Для строительства индивидуальных жилых </w:t>
            </w:r>
            <w:r w:rsidR="000F3A31" w:rsidRPr="00FD5BB2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домов на</w:t>
            </w:r>
            <w:r w:rsidRPr="00FD5BB2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 территории с. Дзержинское </w:t>
            </w:r>
            <w:r w:rsidR="000F3A31" w:rsidRPr="00FD5BB2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осваивались свободные</w:t>
            </w:r>
            <w:r w:rsidRPr="00FD5BB2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 от застройки </w:t>
            </w:r>
            <w:r w:rsidR="000F3A31" w:rsidRPr="00FD5BB2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территории в</w:t>
            </w:r>
            <w:r w:rsidRPr="00FD5BB2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 установленных границах населенного пункта на южной и юго-западной окраинах существующей застройки с. Дзержинское. В 2020-2021 годах осваивались новые участки в северной части с. Дзержинское, практически все земельные участки были предоставлены многодетным семьям.  Земельные участки предоставляются по заявлениям.</w:t>
            </w:r>
          </w:p>
          <w:p w:rsidR="00DE5FDD" w:rsidRPr="00FD5BB2" w:rsidRDefault="00DE5FDD" w:rsidP="00FD5BB2">
            <w:pPr>
              <w:autoSpaceDE w:val="0"/>
              <w:autoSpaceDN w:val="0"/>
              <w:adjustRightInd w:val="0"/>
              <w:spacing w:after="0" w:line="240" w:lineRule="auto"/>
              <w:ind w:right="480" w:firstLine="900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 w:rsidRPr="00FD5BB2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Увеличение площади в 2022 году земельных участков произошло в связи с освоением новых земель в п. Северный с. Дзержинское, для предоставления многодетным семьям. Проведено </w:t>
            </w:r>
            <w:r w:rsidR="000F3A31" w:rsidRPr="00FD5BB2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межевание 50</w:t>
            </w:r>
            <w:r w:rsidRPr="00FD5BB2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 земельных участков. </w:t>
            </w:r>
            <w:r w:rsidR="000F3A31" w:rsidRPr="00FD5BB2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В период</w:t>
            </w:r>
            <w:r w:rsidRPr="00FD5BB2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 2023-2024 годов планируется строительство 16 квартирного жилого дома, строительство водозабора, а так же строительство объектов инженерн</w:t>
            </w:r>
            <w:r w:rsidR="00FD5BB2" w:rsidRPr="00FD5BB2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ой и транспортной инфраструктуры.</w:t>
            </w:r>
          </w:p>
        </w:tc>
      </w:tr>
      <w:tr w:rsidR="00DE5FDD" w:rsidTr="00FD5BB2">
        <w:trPr>
          <w:trHeight w:val="30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lastRenderedPageBreak/>
              <w:t>Наименование показателя и единицы измерения</w:t>
            </w: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Значения показателя</w:t>
            </w:r>
          </w:p>
        </w:tc>
      </w:tr>
      <w:tr w:rsidR="00DE5FDD" w:rsidTr="00FD5BB2">
        <w:trPr>
          <w:trHeight w:val="60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2021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2022 факт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2023 оценка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2024 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2025 прогноз</w:t>
            </w:r>
          </w:p>
        </w:tc>
      </w:tr>
      <w:tr w:rsidR="00DE5FDD" w:rsidTr="00FD5BB2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1. Площадь земельных участков, предоставленных для строительства, га,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3,10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3,10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3,10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3,10</w:t>
            </w:r>
          </w:p>
        </w:tc>
      </w:tr>
      <w:tr w:rsidR="00DE5FDD" w:rsidTr="00FD5BB2">
        <w:trPr>
          <w:trHeight w:val="34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 xml:space="preserve">1.1. для жилищного строительства (в </w:t>
            </w:r>
            <w:proofErr w:type="spellStart"/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т.ч</w:t>
            </w:r>
            <w:proofErr w:type="spellEnd"/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. для ИЖС), 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2,40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2,40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2,40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2,40</w:t>
            </w:r>
          </w:p>
        </w:tc>
      </w:tr>
      <w:tr w:rsidR="00DE5FDD" w:rsidTr="00FD5BB2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1.2. для комплексного освоения в целях жилищного строительства,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0,00</w:t>
            </w:r>
          </w:p>
        </w:tc>
      </w:tr>
      <w:tr w:rsidR="00DE5FDD" w:rsidTr="00FD5BB2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1.3. для строительства объектов, не являющихся объектами жилищного строительства,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0,70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0,70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0,70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0,70</w:t>
            </w:r>
          </w:p>
        </w:tc>
      </w:tr>
      <w:tr w:rsidR="00DE5FDD" w:rsidTr="00FD5BB2">
        <w:trPr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2.</w:t>
            </w:r>
            <w:r w:rsidRPr="000F3A31">
              <w:rPr>
                <w:rFonts w:ascii="Times New Roman CYR" w:hAnsi="Times New Roman CYR" w:cs="Times New Roman CYR"/>
                <w:i/>
                <w:color w:val="C00000"/>
                <w:u w:color="FF0000"/>
              </w:rPr>
              <w:t xml:space="preserve"> </w:t>
            </w:r>
            <w:r w:rsidRPr="000F3A31">
              <w:rPr>
                <w:rFonts w:ascii="Times New Roman CYR" w:hAnsi="Times New Roman CYR" w:cs="Times New Roman CYR"/>
                <w:b/>
                <w:bCs/>
                <w:i/>
                <w:color w:val="C00000"/>
                <w:u w:color="FF0000"/>
              </w:rPr>
              <w:t>Среднегодовая</w:t>
            </w: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12 596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11 787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10 951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10 602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i/>
                <w:color w:val="000000"/>
                <w:u w:color="FF0000"/>
              </w:rPr>
              <w:t>10 353</w:t>
            </w:r>
          </w:p>
        </w:tc>
      </w:tr>
      <w:tr w:rsidR="00DE5FDD" w:rsidTr="00FD5BB2">
        <w:trPr>
          <w:trHeight w:val="8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  <w:t>2,63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  <w:t>2,83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  <w:t>2,92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  <w:t>2,99</w:t>
            </w:r>
          </w:p>
        </w:tc>
      </w:tr>
      <w:tr w:rsidR="00DE5FDD" w:rsidTr="00FD5BB2">
        <w:trPr>
          <w:trHeight w:val="14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  <w:t>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  <w:t>2,04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  <w:t>2,19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  <w:t>2,26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5FDD" w:rsidRPr="000F3A31" w:rsidRDefault="00DE5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</w:pPr>
            <w:r w:rsidRPr="000F3A31">
              <w:rPr>
                <w:rFonts w:ascii="Times New Roman CYR" w:hAnsi="Times New Roman CYR" w:cs="Times New Roman CYR"/>
                <w:b/>
                <w:bCs/>
                <w:i/>
                <w:color w:val="000000"/>
                <w:u w:color="FF0000"/>
              </w:rPr>
              <w:t>2,32</w:t>
            </w:r>
          </w:p>
        </w:tc>
      </w:tr>
    </w:tbl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0F3A31" w:rsidRPr="000F3A31" w:rsidRDefault="000F3A31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26.1. объектов жилищного строительства - в течение 3 лет</w:t>
      </w:r>
    </w:p>
    <w:p w:rsidR="000F3A31" w:rsidRPr="000F3A31" w:rsidRDefault="000F3A31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</w:p>
    <w:p w:rsidR="00DE5FDD" w:rsidRPr="00FD5BB2" w:rsidRDefault="000F3A31" w:rsidP="00FD5BB2">
      <w:pPr>
        <w:autoSpaceDE w:val="0"/>
        <w:autoSpaceDN w:val="0"/>
        <w:adjustRightInd w:val="0"/>
        <w:spacing w:after="120" w:line="240" w:lineRule="auto"/>
        <w:ind w:right="180"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Случаев невыдачи</w:t>
      </w:r>
      <w:r w:rsidR="00DE5FDD">
        <w:rPr>
          <w:rFonts w:ascii="Times New Roman CYR" w:hAnsi="Times New Roman CYR" w:cs="Times New Roman CYR"/>
          <w:sz w:val="28"/>
          <w:szCs w:val="28"/>
          <w:u w:color="FF0000"/>
        </w:rPr>
        <w:t xml:space="preserve"> разрешения на ввод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в эксплуатацию</w:t>
      </w:r>
      <w:r w:rsidR="00DE5FDD">
        <w:rPr>
          <w:rFonts w:ascii="Times New Roman CYR" w:hAnsi="Times New Roman CYR" w:cs="Times New Roman CYR"/>
          <w:sz w:val="28"/>
          <w:szCs w:val="28"/>
          <w:u w:color="FF0000"/>
        </w:rPr>
        <w:t xml:space="preserve"> объектов жилищного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строительства -</w:t>
      </w:r>
      <w:r w:rsidR="00DE5FDD">
        <w:rPr>
          <w:rFonts w:ascii="Times New Roman CYR" w:hAnsi="Times New Roman CYR" w:cs="Times New Roman CYR"/>
          <w:sz w:val="28"/>
          <w:szCs w:val="28"/>
          <w:u w:color="FF0000"/>
        </w:rPr>
        <w:t xml:space="preserve"> в течение 3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лет нет</w:t>
      </w:r>
      <w:r w:rsidR="00DE5FDD"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733"/>
        <w:gridCol w:w="1311"/>
        <w:gridCol w:w="2126"/>
        <w:gridCol w:w="1346"/>
        <w:gridCol w:w="1330"/>
        <w:gridCol w:w="1683"/>
      </w:tblGrid>
      <w:tr w:rsidR="00DE5FDD">
        <w:trPr>
          <w:trHeight w:val="1240"/>
        </w:trPr>
        <w:tc>
          <w:tcPr>
            <w:tcW w:w="101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26.1. Площадь земельных участков, предоставленных для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жилищного строительства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 xml:space="preserve">в отношении которых с даты принятия решения о предоставлении земельного участка 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 xml:space="preserve">или подписания протокола о результатах торгов (конкурсов, аукционов) не было получено разрешение на ввод в эксплуатацию в течение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3 лет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</w:t>
            </w:r>
          </w:p>
        </w:tc>
      </w:tr>
      <w:tr w:rsidR="00DE5FDD">
        <w:trPr>
          <w:trHeight w:val="2162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п/п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Площадь земельного участка,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Дата принятия решения о предоставлении земельного участка или подписания протокола о результатах торгов (конкурсов, аукционов) 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 xml:space="preserve">с указанием вида использования 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lastRenderedPageBreak/>
              <w:t>(собственность, аренда)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lastRenderedPageBreak/>
              <w:t>Дата выдачи разрешения на строитель-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ство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Срок действия разрешения на строитель-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ство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Общая площадь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 xml:space="preserve">жилищного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строительст-ва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на предоставленном земельном участке,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 (проектная)</w:t>
            </w:r>
          </w:p>
        </w:tc>
      </w:tr>
      <w:tr w:rsidR="00DE5FDD">
        <w:trPr>
          <w:trHeight w:val="267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DE5FDD">
        <w:trPr>
          <w:trHeight w:val="226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</w:tr>
    </w:tbl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0F3A31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26.2. иных объектов капитального строительства - в течение 5 лет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E5FDD" w:rsidRDefault="000F3A31" w:rsidP="00DE5FDD">
      <w:pPr>
        <w:autoSpaceDE w:val="0"/>
        <w:autoSpaceDN w:val="0"/>
        <w:adjustRightInd w:val="0"/>
        <w:spacing w:after="120" w:line="240" w:lineRule="auto"/>
        <w:ind w:right="180"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Случаев невыдачи</w:t>
      </w:r>
      <w:r w:rsidR="00DE5FDD">
        <w:rPr>
          <w:rFonts w:ascii="Times New Roman CYR" w:hAnsi="Times New Roman CYR" w:cs="Times New Roman CYR"/>
          <w:sz w:val="28"/>
          <w:szCs w:val="28"/>
          <w:u w:color="FF0000"/>
        </w:rPr>
        <w:t xml:space="preserve"> разрешения на ввод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в эксплуатацию</w:t>
      </w:r>
      <w:r w:rsidR="00DE5FDD">
        <w:rPr>
          <w:rFonts w:ascii="Times New Roman CYR" w:hAnsi="Times New Roman CYR" w:cs="Times New Roman CYR"/>
          <w:sz w:val="28"/>
          <w:szCs w:val="28"/>
          <w:u w:color="FF0000"/>
        </w:rPr>
        <w:t xml:space="preserve"> иных объектов капитального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строительства -</w:t>
      </w:r>
      <w:r w:rsidR="00DE5FDD">
        <w:rPr>
          <w:rFonts w:ascii="Times New Roman CYR" w:hAnsi="Times New Roman CYR" w:cs="Times New Roman CYR"/>
          <w:sz w:val="28"/>
          <w:szCs w:val="28"/>
          <w:u w:color="FF0000"/>
        </w:rPr>
        <w:t xml:space="preserve"> в течение 5 лет нет.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733"/>
        <w:gridCol w:w="1391"/>
        <w:gridCol w:w="3118"/>
        <w:gridCol w:w="1621"/>
        <w:gridCol w:w="1666"/>
        <w:gridCol w:w="11"/>
      </w:tblGrid>
      <w:tr w:rsidR="00DE5FDD">
        <w:trPr>
          <w:gridAfter w:val="1"/>
          <w:wAfter w:w="11" w:type="dxa"/>
        </w:trPr>
        <w:tc>
          <w:tcPr>
            <w:tcW w:w="101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26.2. Площадь земельных участков, предоставленных для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иных объектов капитального строительства, в отношении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5 лет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</w:t>
            </w:r>
          </w:p>
        </w:tc>
      </w:tr>
      <w:tr w:rsidR="00DE5FDD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п/п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Площадь земельных участков,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Дата принятия решения о предоставлении земельного участка или подписания протокола о результатах торгов (конкурсов, аукционов) с указанием вида использования (собственность, аренда)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Дата выдачи разрешения на строительство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Срок действия разрешения на строительство</w:t>
            </w:r>
          </w:p>
        </w:tc>
      </w:tr>
      <w:tr w:rsidR="00DE5FDD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DE5FDD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</w:tr>
    </w:tbl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FD5BB2" w:rsidRDefault="00FD5BB2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Default="00DE5FDD" w:rsidP="000F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VII. Жилищно-коммунальное хозяйство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18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Ключевыми задачами отрасли являются повышение эксплуатационной надёжности объектов коммунальной инфраструктуры и обеспечение доступности жилищно-коммунальных услуг для населения района, а также формирование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конкурентной среды в сфере жилищно-коммунального хозяйства.</w:t>
      </w: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ind w:right="180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В соответствии с Жилищным кодексом Российской Федерации собственники помещений в многоквартирном доме обязаны выбрать один из способов управления многоквартирным домом: непосредственное управление; управление товариществом собственников жилья, или жилищным кооперативом, или иным специализированным потребительским кооперативом; управ</w:t>
      </w:r>
      <w:r w:rsidR="000F3A31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ление управляющей организацией.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FD5BB2" w:rsidRDefault="00FD5BB2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lastRenderedPageBreak/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ind w:right="180"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Общее число многоквартирных домов, в которых собственники помещений выбрали и реализуют способ управления многоквартирными домами, в районе равен 14 ед., в том числе: непосредственное управление собственниками помещений в многоквартирном доме - 14 ед., что составляет 100% </w:t>
      </w:r>
      <w:r w:rsidR="000F3A31">
        <w:rPr>
          <w:rFonts w:ascii="Times New Roman CYR" w:hAnsi="Times New Roman CYR" w:cs="Times New Roman CYR"/>
          <w:sz w:val="28"/>
          <w:szCs w:val="28"/>
          <w:u w:color="FF0000"/>
        </w:rPr>
        <w:t>от числа многоквартирных домов.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округов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округов (муниципального района)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На территории района находится 5 организации, жилищно-коммунального комплекса.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Все многоквартирные дома на территории района расположены на земельных участках, в отношении которых осуществлен государственный кадастровый учет, что составляет 100%.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960"/>
        <w:gridCol w:w="960"/>
        <w:gridCol w:w="960"/>
        <w:gridCol w:w="960"/>
        <w:gridCol w:w="960"/>
      </w:tblGrid>
      <w:tr w:rsidR="00DE5FDD">
        <w:trPr>
          <w:trHeight w:val="30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DE5FDD">
        <w:trPr>
          <w:trHeight w:val="60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2021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</w:tr>
      <w:tr w:rsidR="00DE5FDD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15</w:t>
            </w:r>
          </w:p>
        </w:tc>
      </w:tr>
      <w:tr w:rsidR="00DE5FDD">
        <w:trPr>
          <w:trHeight w:val="12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2. Общее число многоквартирных домов по состоянию на конец отчетного периода, единиц 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(по данным статистического отчета 1-жилфонд строка 01 графа 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15</w:t>
            </w:r>
          </w:p>
        </w:tc>
      </w:tr>
      <w:tr w:rsidR="00DE5FDD">
        <w:trPr>
          <w:trHeight w:val="127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 учет, % (стр. 1/стр.2*100)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</w:tr>
    </w:tbl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F3A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lastRenderedPageBreak/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DE5FDD" w:rsidRPr="000F3A31" w:rsidRDefault="00DE5FDD" w:rsidP="000F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4"/>
          <w:szCs w:val="24"/>
          <w:u w:color="FF0000"/>
        </w:rPr>
      </w:pPr>
    </w:p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4786"/>
        <w:gridCol w:w="1134"/>
        <w:gridCol w:w="992"/>
        <w:gridCol w:w="616"/>
        <w:gridCol w:w="377"/>
        <w:gridCol w:w="992"/>
        <w:gridCol w:w="1134"/>
      </w:tblGrid>
      <w:tr w:rsidR="00DE5FDD" w:rsidTr="00E62A63">
        <w:trPr>
          <w:trHeight w:val="30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DE5FDD" w:rsidTr="00E62A63">
        <w:trPr>
          <w:trHeight w:val="600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2021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факт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</w:tr>
      <w:tr w:rsidR="00DE5FDD" w:rsidTr="00E62A63">
        <w:trPr>
          <w:trHeight w:val="15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1. Численность населения (семей), получившего жилые помещения и улучшившего жилищные условия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по договору социального найма в отчетном году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, чел.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(по данным статистического отчета 4-жилфонд строка 04 графа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78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</w:t>
            </w:r>
          </w:p>
        </w:tc>
      </w:tr>
      <w:tr w:rsidR="00DE5FDD" w:rsidTr="00E62A63">
        <w:trPr>
          <w:trHeight w:val="118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2. Численность населения (семей), состоящего на учете в качестве нуждающегося в жилых помещениях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по договорам социального найма на конец прошлого года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, чел.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78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78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78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  <w:p w:rsidR="00DE5FDD" w:rsidRDefault="00DE5FDD" w:rsidP="0078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</w:t>
            </w:r>
            <w:r w:rsidR="0078525F">
              <w:rPr>
                <w:rFonts w:ascii="Times New Roman CYR" w:hAnsi="Times New Roman CYR" w:cs="Times New Roman CYR"/>
                <w:color w:val="000000"/>
                <w:u w:color="FF0000"/>
              </w:rPr>
              <w:t>6</w:t>
            </w:r>
          </w:p>
        </w:tc>
      </w:tr>
      <w:tr w:rsidR="00DE5FDD" w:rsidTr="00E62A63">
        <w:trPr>
          <w:trHeight w:val="152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7852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8,33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7852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7852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25F" w:rsidRDefault="007852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</w:p>
          <w:p w:rsidR="0078525F" w:rsidRDefault="007852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</w:p>
          <w:p w:rsidR="00DE5FDD" w:rsidRDefault="0078525F" w:rsidP="00785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8,33</w:t>
            </w:r>
          </w:p>
          <w:p w:rsidR="0078525F" w:rsidRDefault="007852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</w:p>
        </w:tc>
      </w:tr>
    </w:tbl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Calibri" w:hAnsi="Calibri" w:cs="Calibri"/>
          <w:sz w:val="24"/>
          <w:szCs w:val="24"/>
          <w:highlight w:val="yellow"/>
          <w:u w:color="FF0000"/>
        </w:rPr>
      </w:pPr>
    </w:p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увеличилась по сравнению с 2021 годом из-за уменьшения численности населения (семей) состоящего на учете в качестве нуждающегося в жилых помещениях по договорам социальног</w:t>
      </w:r>
      <w:r w:rsidR="00E62A63">
        <w:rPr>
          <w:rFonts w:ascii="Times New Roman CYR" w:hAnsi="Times New Roman CYR" w:cs="Times New Roman CYR"/>
          <w:sz w:val="28"/>
          <w:szCs w:val="28"/>
          <w:u w:color="FF0000"/>
        </w:rPr>
        <w:t>о найма на конец прошлого года.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VIII. Организация муниципального управления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E62A6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4"/>
          <w:szCs w:val="24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180" w:firstLine="72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В 2022 году наблюдается увеличение доли налоговых и неналоговых доходов местного бюджета в общем объеме собственных доходов бюджета муниципального образования с 16,96 % до 18,37 %, небольшое увеличение за счет роста поступлений налога на доходы физических лиц.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180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В целях увеличения доходов местного бюджета проводится работа по идентификации земельных участков, проведена </w:t>
      </w:r>
      <w:r w:rsidR="00E62A63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инвентаризация муниципального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имущества. Проводится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претензиционная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работа </w:t>
      </w:r>
      <w:r w:rsidR="00E62A63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по взысканию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задолженности за использование муниципального имущества. Согласно утвержденного графика межрайонной инспекцией ФНС России № 8 по Красноярскому краю проводятся 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lastRenderedPageBreak/>
        <w:t>заседания межведомственной комиссии по сокращению недоимки по налогам и сборам и легализации заработной платы.</w:t>
      </w:r>
    </w:p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ind w:right="180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Реализация вышеуказанных мероприятий направлена на повышение доли налоговых и неналоговых доходов местных бюджетов и, соответственно, повышение самостоятельности органов местного самоуправления при принятии и исп</w:t>
      </w:r>
      <w:r w:rsidR="00E62A63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олнении расходных обязательств.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E62A6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ind w:right="220" w:firstLine="5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На территории района организаций муниципальной формы собственности находя</w:t>
      </w:r>
      <w:r w:rsidR="00E62A63">
        <w:rPr>
          <w:rFonts w:ascii="Times New Roman CYR" w:hAnsi="Times New Roman CYR" w:cs="Times New Roman CYR"/>
          <w:sz w:val="28"/>
          <w:szCs w:val="28"/>
          <w:u w:color="FF0000"/>
        </w:rPr>
        <w:t>щихся в стадии банкротства нет.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E62A6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33. Объем не завершенного в установленные сроки строительства, осуществляемого за счет средств бюджета муниципального, городского округов (муниципального района)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300" w:firstLine="5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2022 году объем не завершенного в установленные сроки строительства, осуществляемого за счет средств бюджета муниципального района, отсутствует.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134"/>
        <w:gridCol w:w="1134"/>
        <w:gridCol w:w="1985"/>
        <w:gridCol w:w="3402"/>
      </w:tblGrid>
      <w:tr w:rsidR="00DE5FDD"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округа, муниципального района</w:t>
            </w:r>
          </w:p>
        </w:tc>
      </w:tr>
      <w:tr w:rsidR="00DE5FD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Период строи-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тельства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Заказчик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Затраты 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 w:color="FF0000"/>
              </w:rPr>
              <w:t>местного бюджета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на строительство объекта, 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Перспективы дальнейшего использования объекта (продолжение СМР/отсутствие финансирования, /списание затрат)</w:t>
            </w:r>
          </w:p>
        </w:tc>
      </w:tr>
      <w:tr w:rsidR="00DE5FD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DE5FD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</w:tbl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E62A6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DE5FDD" w:rsidRDefault="00DE5FDD" w:rsidP="00E62A63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По итогам 2022 года, как и в предыдущие годы, просроченная кредиторская задолженность по оплате </w:t>
      </w:r>
      <w:r w:rsidR="00E62A63">
        <w:rPr>
          <w:rFonts w:ascii="Times New Roman CYR" w:hAnsi="Times New Roman CYR" w:cs="Times New Roman CYR"/>
          <w:sz w:val="28"/>
          <w:szCs w:val="28"/>
          <w:u w:color="FF0000"/>
        </w:rPr>
        <w:t>труда отсутствует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,</w:t>
      </w:r>
      <w:r>
        <w:rPr>
          <w:rFonts w:ascii="Times New Roman CYR" w:hAnsi="Times New Roman CYR" w:cs="Times New Roman CYR"/>
          <w:b/>
          <w:bCs/>
          <w:i/>
          <w:iCs/>
          <w:color w:val="006600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что свидетельствует о проведении органами местного </w:t>
      </w:r>
      <w:r w:rsidR="00E62A63">
        <w:rPr>
          <w:rFonts w:ascii="Times New Roman CYR" w:hAnsi="Times New Roman CYR" w:cs="Times New Roman CYR"/>
          <w:sz w:val="28"/>
          <w:szCs w:val="28"/>
          <w:u w:color="FF0000"/>
        </w:rPr>
        <w:t>самоуправления ответственной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бюджетной политики.</w:t>
      </w:r>
    </w:p>
    <w:p w:rsidR="00FD5BB2" w:rsidRPr="00E62A63" w:rsidRDefault="00FD5BB2" w:rsidP="00E62A63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E62A6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             В 2022 году отмечен рост расходов на содержание работников органов местного самоуправления в расчете на одного жителя муниципального образования с 6329,94 рублей до 7707,94 рублей. Это обусловлено с ростом денежного содержания работников органов местного самоуправления, а </w:t>
      </w:r>
      <w:r w:rsidR="00E62A63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>также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 сокращением численности постоянного населения (естественное снижение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lastRenderedPageBreak/>
        <w:t>населения – смертность превысила рождаемость и миграционный отток населения).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color="FF0000"/>
        </w:rPr>
        <w:t xml:space="preserve"> </w:t>
      </w:r>
      <w:r w:rsidR="00E62A63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 </w:t>
      </w:r>
    </w:p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E62A6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36. Наличие в муниципальном, городском округе (муниципальном районе) утвержденного генерального плана муниципального, городского округов (схемы территориального планирования муниципального района)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30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целях дальнейшего развития жилищного строительства на территории района разработаны и утверждены документы территориального планирования и правила землепользования застройки.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662"/>
        <w:gridCol w:w="2552"/>
      </w:tblGrid>
      <w:tr w:rsidR="00DE5FD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Дата</w:t>
            </w: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утверждения</w:t>
            </w:r>
          </w:p>
        </w:tc>
      </w:tr>
      <w:tr w:rsidR="00DE5FD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Генплан Дзержинского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21- 181Р от 14.09.2018</w:t>
            </w:r>
          </w:p>
        </w:tc>
      </w:tr>
      <w:tr w:rsidR="00DE5FD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Генплан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Курайского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7-44Р от 21.04.2021</w:t>
            </w:r>
          </w:p>
        </w:tc>
      </w:tr>
      <w:tr w:rsidR="00DE5FD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Схема территориального планирования Дзержинского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№.29-188Р от 28.10.2012 года (актуализирована в 2016 году)</w:t>
            </w:r>
          </w:p>
        </w:tc>
      </w:tr>
      <w:tr w:rsidR="00DE5FD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Генплан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Денисовского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18-117Р от 23.06.2022</w:t>
            </w:r>
          </w:p>
        </w:tc>
      </w:tr>
    </w:tbl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.   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В 2020 году разработаны генпланы Михайловского и Александро-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Ершинского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сельсоветов, в 2021 году генплан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Нижнетанайского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 w:rsidR="00E62A63">
        <w:rPr>
          <w:rFonts w:ascii="Times New Roman CYR" w:hAnsi="Times New Roman CYR" w:cs="Times New Roman CYR"/>
          <w:sz w:val="28"/>
          <w:szCs w:val="28"/>
          <w:u w:color="FF0000"/>
        </w:rPr>
        <w:t>сельсовета в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настоящее вр</w:t>
      </w:r>
      <w:r w:rsidR="00E62A63">
        <w:rPr>
          <w:rFonts w:ascii="Times New Roman CYR" w:hAnsi="Times New Roman CYR" w:cs="Times New Roman CYR"/>
          <w:sz w:val="28"/>
          <w:szCs w:val="28"/>
          <w:u w:color="FF0000"/>
        </w:rPr>
        <w:t>емя они находятся на доработке.</w:t>
      </w:r>
    </w:p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E62A6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37. Удовлетворенность населения деятельностью местного самоуправления муниципального, городского округов (муниципального района)</w:t>
      </w:r>
    </w:p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ind w:right="160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Уровень удовлетворенности населения Дзержинского района направлениями работы органов местного самоуправления за 2022 год составляет </w:t>
      </w:r>
      <w:r w:rsidR="00FB3151" w:rsidRPr="00FB3151">
        <w:rPr>
          <w:rFonts w:ascii="Times New Roman CYR" w:hAnsi="Times New Roman CYR" w:cs="Times New Roman CYR"/>
          <w:sz w:val="28"/>
          <w:szCs w:val="28"/>
          <w:u w:color="FF0000"/>
        </w:rPr>
        <w:t>71,8</w:t>
      </w:r>
      <w:r w:rsidR="00E62A63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% от числа опрошенных.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E62A63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E62A6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38. Среднегодовая численность постоянного населения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В 2022 году среднегодовая численность постоянного населения района составила 11787 человек. Численность населения района на протяжении последних лет постепенно сокращается. По сравнению с 2021 годом численность населения сократилась на 809 человек.  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Ежегодное снижение численности постоянного населения обусловлено двумя причинами: изменение в процессе естественного воспроизводства в силу объективных причин и миграционных потоков. 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Демографическая ситуация в 2022 году характеризовалась следующими показателями: число родившихся сократилось на 26,2% и составило 104 человека, число умерших сократилось на 28,7 % и составило 219 человек, по сравнению с 2021 годом умерло на 88 человек меньше. Естественная убыль населения -115 человек.</w:t>
      </w:r>
    </w:p>
    <w:p w:rsidR="00DE5FDD" w:rsidRDefault="00DE5FDD" w:rsidP="00DE5FDD">
      <w:pPr>
        <w:shd w:val="clear" w:color="auto" w:fill="FFFFFF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Миграционный отток населения составил - 282 человека.</w:t>
      </w:r>
    </w:p>
    <w:p w:rsidR="00DE5FDD" w:rsidRDefault="00DE5FDD" w:rsidP="00DE5FDD">
      <w:pPr>
        <w:shd w:val="clear" w:color="auto" w:fill="FFFFFF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   По прогнозным оценкам, в ближайшие годы ожидается незначительное увеличение числа новорожденных.</w:t>
      </w:r>
    </w:p>
    <w:p w:rsidR="00FD5BB2" w:rsidRDefault="00FD5BB2" w:rsidP="00DE5FD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FD5BB2" w:rsidRDefault="00FD5BB2" w:rsidP="00DE5FD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DE5FDD" w:rsidRDefault="00DE5FDD" w:rsidP="00DE5FD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человек</w:t>
      </w:r>
    </w:p>
    <w:tbl>
      <w:tblPr>
        <w:tblW w:w="0" w:type="auto"/>
        <w:tblInd w:w="-219" w:type="dxa"/>
        <w:tblLayout w:type="fixed"/>
        <w:tblLook w:val="0000" w:firstRow="0" w:lastRow="0" w:firstColumn="0" w:lastColumn="0" w:noHBand="0" w:noVBand="0"/>
      </w:tblPr>
      <w:tblGrid>
        <w:gridCol w:w="639"/>
        <w:gridCol w:w="1843"/>
        <w:gridCol w:w="1134"/>
        <w:gridCol w:w="851"/>
        <w:gridCol w:w="992"/>
        <w:gridCol w:w="992"/>
        <w:gridCol w:w="1134"/>
        <w:gridCol w:w="1134"/>
        <w:gridCol w:w="1418"/>
      </w:tblGrid>
      <w:tr w:rsidR="00DE5FDD" w:rsidTr="00E62A63">
        <w:trPr>
          <w:trHeight w:val="7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2019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2020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2021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2022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2023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2024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прогноз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2025 прогноз</w:t>
            </w:r>
          </w:p>
        </w:tc>
      </w:tr>
      <w:tr w:rsidR="00DE5FDD" w:rsidTr="00E62A63">
        <w:trPr>
          <w:trHeight w:val="11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Среднегодовая численность постоянного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10536</w:t>
            </w:r>
          </w:p>
        </w:tc>
      </w:tr>
      <w:tr w:rsidR="00DE5FDD" w:rsidTr="00E62A63">
        <w:trPr>
          <w:trHeight w:val="8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населения на начало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10706</w:t>
            </w:r>
          </w:p>
        </w:tc>
      </w:tr>
      <w:tr w:rsidR="00DE5FDD" w:rsidTr="00E62A63">
        <w:trPr>
          <w:trHeight w:val="5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родившихся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138</w:t>
            </w:r>
          </w:p>
        </w:tc>
      </w:tr>
      <w:tr w:rsidR="00DE5FDD" w:rsidTr="00E62A63">
        <w:trPr>
          <w:trHeight w:val="49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умерших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215</w:t>
            </w:r>
          </w:p>
        </w:tc>
      </w:tr>
      <w:tr w:rsidR="00DE5FDD" w:rsidTr="00E62A63">
        <w:trPr>
          <w:trHeight w:val="79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Естественный прирост(+),               убыль(-)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-115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-92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-85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-77</w:t>
            </w:r>
          </w:p>
        </w:tc>
      </w:tr>
      <w:tr w:rsidR="00DE5FDD" w:rsidTr="00E62A63">
        <w:trPr>
          <w:trHeight w:val="8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Численность прибывших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381</w:t>
            </w:r>
          </w:p>
        </w:tc>
      </w:tr>
      <w:tr w:rsidR="00DE5FDD" w:rsidTr="00E62A63">
        <w:trPr>
          <w:trHeight w:val="5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убывших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645</w:t>
            </w:r>
          </w:p>
        </w:tc>
      </w:tr>
      <w:tr w:rsidR="00DE5FDD" w:rsidTr="00E62A63">
        <w:trPr>
          <w:trHeight w:val="6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Миграционный прирост(+),    убыль(-)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-264</w:t>
            </w:r>
          </w:p>
        </w:tc>
      </w:tr>
    </w:tbl>
    <w:p w:rsidR="00DE5FDD" w:rsidRDefault="00DE5FDD" w:rsidP="00DE5FDD">
      <w:pPr>
        <w:autoSpaceDE w:val="0"/>
        <w:autoSpaceDN w:val="0"/>
        <w:adjustRightInd w:val="0"/>
        <w:spacing w:after="0" w:line="240" w:lineRule="auto"/>
        <w:ind w:left="60" w:firstLine="660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E62A63" w:rsidRDefault="00E62A63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Default="00DE5FDD" w:rsidP="00E6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IX. Энергосбережение и повышение энергетической эффективности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С 2014 года в крае осуществляется реализация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br/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целях создания экономических и организационных основ стимулирования энергосбережения и повышения энергетической эффективности. В районе утверждена муниципальная программа в области энергосбережения и повышения энергетической эффективности.</w:t>
      </w:r>
    </w:p>
    <w:p w:rsidR="00E62A63" w:rsidRDefault="00E62A63" w:rsidP="00DE5F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E62A6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Показатель по холодной воде.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Холодное водоснабжение есть в 1 доме, объем потребления холодной воды за 2022 год согласно индивидуальным приборам учета составил 597,0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куб.м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., в доме проживает 34 человека.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прогнозируемом периоде 2022-2025 годов показатель останется на уровне 2022 года.</w:t>
      </w:r>
    </w:p>
    <w:p w:rsidR="00FD5BB2" w:rsidRDefault="00FD5BB2" w:rsidP="00DE5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FD5BB2" w:rsidRDefault="00FD5BB2" w:rsidP="00DE5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351B3" w:rsidRDefault="005351B3" w:rsidP="00DE5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№39.4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7"/>
        <w:gridCol w:w="2627"/>
        <w:gridCol w:w="1559"/>
        <w:gridCol w:w="992"/>
        <w:gridCol w:w="992"/>
        <w:gridCol w:w="992"/>
        <w:gridCol w:w="992"/>
        <w:gridCol w:w="1277"/>
      </w:tblGrid>
      <w:tr w:rsidR="00DE5FDD" w:rsidTr="00E62A63">
        <w:trPr>
          <w:trHeight w:val="4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№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2021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2022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2023 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2024</w:t>
            </w: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прогноз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2025</w:t>
            </w: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прогноз</w:t>
            </w:r>
          </w:p>
        </w:tc>
      </w:tr>
      <w:tr w:rsidR="00DE5FDD" w:rsidTr="00E62A63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39.4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холодная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куб.метров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на 1 проживающего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17,56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17,56</w:t>
            </w:r>
          </w:p>
        </w:tc>
      </w:tr>
      <w:tr w:rsidR="00DE5FDD" w:rsidTr="00E62A63">
        <w:trPr>
          <w:trHeight w:val="4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объем потребления воды (холодной)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куб.м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548,67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597,0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597,0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597,0</w:t>
            </w:r>
          </w:p>
        </w:tc>
      </w:tr>
      <w:tr w:rsidR="00DE5FDD" w:rsidTr="00E62A63">
        <w:trPr>
          <w:trHeight w:val="6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число проживающих в многоквартирных домах, которым отпущен соответствующий энергетический ресурс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34</w:t>
            </w:r>
          </w:p>
        </w:tc>
      </w:tr>
    </w:tbl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Удельная величина потребления тепловой энергии рассчитана по нормативам, так как в многоквартирных домах отсутствуют коллективные приборы учета. Показатель тепловой </w:t>
      </w:r>
      <w:r w:rsidR="00E62A63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энергии в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2022 году остался на уровне 2021 года.</w:t>
      </w:r>
    </w:p>
    <w:p w:rsidR="00DE5FDD" w:rsidRDefault="00DE5FDD" w:rsidP="00E62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Прогнозируемые показатели на 2022-2025 годы останутся на уровне 2021 года, так как не планируется увеличение тепловых мощностей и количеств</w:t>
      </w:r>
      <w:r w:rsidR="00E62A63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а потребителей данного ресурса.</w:t>
      </w:r>
    </w:p>
    <w:p w:rsidR="005351B3" w:rsidRDefault="005351B3" w:rsidP="00DE5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№39.2</w:t>
      </w:r>
    </w:p>
    <w:tbl>
      <w:tblPr>
        <w:tblW w:w="1017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66"/>
        <w:gridCol w:w="3254"/>
        <w:gridCol w:w="1202"/>
        <w:gridCol w:w="897"/>
        <w:gridCol w:w="897"/>
        <w:gridCol w:w="897"/>
        <w:gridCol w:w="929"/>
        <w:gridCol w:w="1531"/>
      </w:tblGrid>
      <w:tr w:rsidR="00DE5FDD" w:rsidTr="00E62A63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№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Единицы измерения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2021 факт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2022 факт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2023 оценка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0"/>
                <w:szCs w:val="10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8"/>
                <w:szCs w:val="8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2024 прогноз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0"/>
                <w:szCs w:val="10"/>
                <w:u w:color="FF0000"/>
              </w:rPr>
            </w:pPr>
          </w:p>
          <w:p w:rsidR="00DE5FDD" w:rsidRDefault="00DE5FD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8"/>
                <w:szCs w:val="8"/>
                <w:u w:color="FF0000"/>
              </w:rPr>
            </w:pPr>
          </w:p>
          <w:p w:rsidR="00DE5FDD" w:rsidRDefault="00DE5FD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2025 прогноз</w:t>
            </w:r>
          </w:p>
        </w:tc>
      </w:tr>
      <w:tr w:rsidR="00DE5FDD" w:rsidTr="00E62A63">
        <w:tblPrEx>
          <w:tblBorders>
            <w:right w:val="single" w:sz="4" w:space="4" w:color="auto"/>
          </w:tblBorders>
        </w:tblPrEx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39.2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тепловая энергия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Гкал на 1 кв. метр общей площади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0,42</w:t>
            </w:r>
          </w:p>
        </w:tc>
      </w:tr>
      <w:tr w:rsidR="00DE5FDD" w:rsidTr="00E62A63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объем потребленной тепловой энергии в многоквартирных домах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Гкал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3615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3615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3615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2"/>
                <w:szCs w:val="12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3615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3615</w:t>
            </w:r>
          </w:p>
        </w:tc>
      </w:tr>
      <w:tr w:rsidR="00DE5FDD" w:rsidTr="00E62A63">
        <w:trPr>
          <w:trHeight w:val="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общая площадь жилых помещений в многоквартирных домах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кв. метр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8605,2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8605,2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8605,2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8605,2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8605,2</w:t>
            </w:r>
          </w:p>
        </w:tc>
      </w:tr>
    </w:tbl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lightGray"/>
          <w:u w:color="FF0000"/>
        </w:rPr>
      </w:pPr>
    </w:p>
    <w:p w:rsidR="005351B3" w:rsidRDefault="005351B3" w:rsidP="00DE5F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lightGray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Объем потребления электрической энергии в многоквартирных домах в Дзержинском районе по данным ПАО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Красноярскэнергосбыт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 за 2022 год составил 352 867 кВт/ч, численность проживающих в многоквартирных домах, которым отпущен соответствующий энергетический ресурс осталось на уровне 2021 года.</w:t>
      </w:r>
    </w:p>
    <w:p w:rsidR="00E62A63" w:rsidRDefault="00DE5FDD" w:rsidP="00FD5B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Удельная величина потребления электроэнергии в 2022 году увеличилась по сравнению с 2021 годом. На период 2023-2025 годов показатель останется на уровне 2022 года.</w:t>
      </w:r>
    </w:p>
    <w:p w:rsidR="005351B3" w:rsidRDefault="005351B3" w:rsidP="00DE5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351B3" w:rsidRDefault="005351B3" w:rsidP="00DE5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351B3" w:rsidRDefault="005351B3" w:rsidP="00DE5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351B3" w:rsidRDefault="005351B3" w:rsidP="00DE5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351B3" w:rsidRDefault="005351B3" w:rsidP="00DE5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351B3" w:rsidRDefault="005351B3" w:rsidP="00DE5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351B3" w:rsidRDefault="005351B3" w:rsidP="00DE5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351B3" w:rsidRDefault="005351B3" w:rsidP="00DE5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CYR" w:hAnsi="Arial CYR" w:cs="Arial CYR"/>
          <w:sz w:val="20"/>
          <w:szCs w:val="20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№39.1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585"/>
        <w:gridCol w:w="1417"/>
        <w:gridCol w:w="993"/>
        <w:gridCol w:w="993"/>
        <w:gridCol w:w="993"/>
        <w:gridCol w:w="993"/>
        <w:gridCol w:w="1415"/>
      </w:tblGrid>
      <w:tr w:rsidR="005351B3" w:rsidTr="005351B3">
        <w:trPr>
          <w:trHeight w:val="619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Единицы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2021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2022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2023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8"/>
                <w:szCs w:val="8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2024</w:t>
            </w: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прогноз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2025 прогноз</w:t>
            </w:r>
          </w:p>
        </w:tc>
      </w:tr>
      <w:tr w:rsidR="005351B3" w:rsidTr="005351B3">
        <w:trPr>
          <w:trHeight w:val="70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39.1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электрическая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кВт·ч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на 1 проживающего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1157,95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1233,80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1233,80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1233,80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1233,80</w:t>
            </w:r>
          </w:p>
        </w:tc>
      </w:tr>
      <w:tr w:rsidR="005351B3" w:rsidTr="005351B3">
        <w:trPr>
          <w:trHeight w:val="45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объем потребления электрической энергии в многоквартирных домах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кВТч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331175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352867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352867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352867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352867</w:t>
            </w:r>
          </w:p>
        </w:tc>
      </w:tr>
      <w:tr w:rsidR="005351B3" w:rsidTr="005351B3">
        <w:trPr>
          <w:trHeight w:val="45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число проживающих в многоквартирных домах, которым отпущен соответствующий энергетический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0"/>
                <w:szCs w:val="1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0"/>
                <w:szCs w:val="1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0"/>
                <w:szCs w:val="1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0"/>
                <w:szCs w:val="1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286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0"/>
                <w:szCs w:val="1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5351B3" w:rsidRDefault="0053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286</w:t>
            </w:r>
          </w:p>
        </w:tc>
      </w:tr>
    </w:tbl>
    <w:p w:rsidR="005351B3" w:rsidRDefault="00E62A63" w:rsidP="00E6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</w:t>
      </w:r>
    </w:p>
    <w:p w:rsidR="00DE5FDD" w:rsidRPr="00E62A63" w:rsidRDefault="00E62A63" w:rsidP="00E6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 w:rsidR="00DE5FDD">
        <w:rPr>
          <w:rFonts w:ascii="Times New Roman CYR" w:hAnsi="Times New Roman CYR" w:cs="Times New Roman CYR"/>
          <w:sz w:val="28"/>
          <w:szCs w:val="28"/>
          <w:u w:color="FF0000"/>
        </w:rPr>
        <w:t>Показатели удельной величины потребления природного газа и горячей воды равны "0", так как в рай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оне отсутствует инфраструктура.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5351B3" w:rsidRDefault="005351B3" w:rsidP="00E6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</w:pPr>
    </w:p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E62A6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Удельная величина потребления электроэнергии муниципальными бюджетными учреждениями в 2022 году уменьшилась по сравнению с 2021 годом. Объем потребления электрической энергии муниципальными бюджетными учреждениями в 2022 году составил 2 051,032 тыс.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кВтч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, среднегодовая численность постоянного населения Дзержинского района 11 787 чел.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Снижение удельной величины потребления электроэнергии муниципальными бюджетными учреждениями достигнуто за счет следующих мероприятий:</w:t>
      </w:r>
    </w:p>
    <w:p w:rsidR="00DE5FDD" w:rsidRDefault="00DE5FDD" w:rsidP="00DE5F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замены ламп накаливания на более экономичные источники освещения;</w:t>
      </w:r>
    </w:p>
    <w:p w:rsidR="00DE5FDD" w:rsidRDefault="00DE5FDD" w:rsidP="00DE5F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исключение использования электрообогревательных приборов для целей отопления;</w:t>
      </w:r>
    </w:p>
    <w:p w:rsidR="00DE5FDD" w:rsidRDefault="00DE5FDD" w:rsidP="00DE5F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установки энергосберегающих насосов в системах отопления.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left="1004"/>
        <w:jc w:val="right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№40.1</w:t>
      </w:r>
    </w:p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3455"/>
        <w:gridCol w:w="1235"/>
        <w:gridCol w:w="1179"/>
        <w:gridCol w:w="1124"/>
        <w:gridCol w:w="1265"/>
        <w:gridCol w:w="1773"/>
      </w:tblGrid>
      <w:tr w:rsidR="00DE5FDD" w:rsidTr="00E62A63">
        <w:trPr>
          <w:trHeight w:val="300"/>
        </w:trPr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DE5FDD" w:rsidTr="00E62A63">
        <w:trPr>
          <w:trHeight w:val="698"/>
        </w:trPr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2021 </w:t>
            </w: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факт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2022 </w:t>
            </w: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факт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оценка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прогноз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</w:tr>
      <w:tr w:rsidR="00DE5FDD" w:rsidTr="00E62A63">
        <w:trPr>
          <w:trHeight w:val="570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40.1. Потребление электрической энергии,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кВт·ч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169,10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174,01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193,51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199,88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204,68</w:t>
            </w:r>
          </w:p>
        </w:tc>
      </w:tr>
      <w:tr w:rsidR="00DE5FDD" w:rsidTr="00E62A63">
        <w:trPr>
          <w:trHeight w:val="900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объем потребленной (израсходованной) электрической энергии муниципальными учреждениями,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кВтч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2 129 940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2 051 032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2 119 103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2 119 103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2 119 103</w:t>
            </w:r>
          </w:p>
        </w:tc>
      </w:tr>
      <w:tr w:rsidR="00DE5FDD" w:rsidTr="00E62A63">
        <w:trPr>
          <w:trHeight w:val="829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lastRenderedPageBreak/>
              <w:t xml:space="preserve">среднегодовая 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12 596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11787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10951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10602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10353</w:t>
            </w:r>
          </w:p>
        </w:tc>
      </w:tr>
    </w:tbl>
    <w:p w:rsidR="00DE5FDD" w:rsidRDefault="00DE5FDD" w:rsidP="00DE5FDD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Суммарное количество тепловой энергии муниципальными бюджетными учреждениями за 2021 год составило: 3 968,14 Гкал, общая площадь муниципальных учреждений на 2022 год 52 694,02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. </w:t>
      </w:r>
    </w:p>
    <w:p w:rsidR="005351B3" w:rsidRDefault="005351B3" w:rsidP="00DE5FDD">
      <w:pPr>
        <w:autoSpaceDE w:val="0"/>
        <w:autoSpaceDN w:val="0"/>
        <w:adjustRightInd w:val="0"/>
        <w:spacing w:after="0" w:line="240" w:lineRule="auto"/>
        <w:ind w:left="1004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5351B3" w:rsidRDefault="005351B3" w:rsidP="00DE5FDD">
      <w:pPr>
        <w:autoSpaceDE w:val="0"/>
        <w:autoSpaceDN w:val="0"/>
        <w:adjustRightInd w:val="0"/>
        <w:spacing w:after="0" w:line="240" w:lineRule="auto"/>
        <w:ind w:left="1004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left="1004"/>
        <w:jc w:val="right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№40.2</w:t>
      </w:r>
    </w:p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3582"/>
        <w:gridCol w:w="1204"/>
        <w:gridCol w:w="1135"/>
        <w:gridCol w:w="1133"/>
        <w:gridCol w:w="1133"/>
        <w:gridCol w:w="1844"/>
      </w:tblGrid>
      <w:tr w:rsidR="00DE5FDD" w:rsidTr="00E62A63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DE5FDD" w:rsidTr="00E62A63">
        <w:trPr>
          <w:trHeight w:val="698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2021 </w:t>
            </w: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факт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факт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оценка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прогноз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</w:tr>
      <w:tr w:rsidR="00DE5FDD" w:rsidTr="00E62A63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40.2. Потребление тепловой энергии, Гкал на 1 кв. метр общей площади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0,08</w:t>
            </w:r>
          </w:p>
        </w:tc>
      </w:tr>
      <w:tr w:rsidR="00DE5FDD" w:rsidTr="00E62A63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суммарное количество тепловой энергии, потребленной муниципальными учреждениями, Гкал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3 784,03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3 968,14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3 995,33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3 995,33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3 995,33</w:t>
            </w:r>
          </w:p>
        </w:tc>
      </w:tr>
      <w:tr w:rsidR="00DE5FDD" w:rsidTr="00E62A63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общая площадь муниципальных учреждений,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кв.м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</w:tr>
    </w:tbl>
    <w:p w:rsidR="00DE5FDD" w:rsidRDefault="00DE5FDD" w:rsidP="00DE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DE5FDD" w:rsidRDefault="00E62A63" w:rsidP="00DE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</w:t>
      </w:r>
      <w:r w:rsidR="00DE5FDD">
        <w:rPr>
          <w:rFonts w:ascii="Times New Roman CYR" w:hAnsi="Times New Roman CYR" w:cs="Times New Roman CYR"/>
          <w:sz w:val="28"/>
          <w:szCs w:val="28"/>
          <w:u w:color="FF0000"/>
        </w:rPr>
        <w:t>Объем потребления холодной воды муниципальными БУ за 2022 год составил 12 300 м3.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left="1004"/>
        <w:jc w:val="right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№40.4</w:t>
      </w:r>
    </w:p>
    <w:tbl>
      <w:tblPr>
        <w:tblW w:w="1017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582"/>
        <w:gridCol w:w="1204"/>
        <w:gridCol w:w="1135"/>
        <w:gridCol w:w="1133"/>
        <w:gridCol w:w="1277"/>
        <w:gridCol w:w="1842"/>
      </w:tblGrid>
      <w:tr w:rsidR="00DE5FDD" w:rsidTr="00E62A63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DE5FDD" w:rsidTr="00E62A63">
        <w:trPr>
          <w:trHeight w:val="698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2021 </w:t>
            </w:r>
          </w:p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факт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факт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оценка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прогноз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</w:tr>
      <w:tr w:rsidR="00DE5FDD" w:rsidTr="00E62A6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40.4. Потребление холодной воды, куб. 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1,19</w:t>
            </w:r>
          </w:p>
        </w:tc>
      </w:tr>
      <w:tr w:rsidR="00DE5FDD" w:rsidTr="00E62A63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объем потребленной (израсходованной) холодной воды муниципальными учреждениями,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куб.м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12 300,00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12 300,00</w:t>
            </w:r>
          </w:p>
        </w:tc>
      </w:tr>
      <w:tr w:rsidR="00DE5FDD" w:rsidTr="00E62A63">
        <w:trPr>
          <w:trHeight w:val="8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среднегодовая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12 596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11787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10951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10602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DD" w:rsidRDefault="00D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10353</w:t>
            </w:r>
          </w:p>
        </w:tc>
      </w:tr>
    </w:tbl>
    <w:p w:rsidR="00DE5FDD" w:rsidRDefault="00DE5FDD" w:rsidP="00DE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DE5FDD" w:rsidRPr="00E62A63" w:rsidRDefault="00DE5FDD" w:rsidP="00E62A63">
      <w:pPr>
        <w:autoSpaceDE w:val="0"/>
        <w:autoSpaceDN w:val="0"/>
        <w:adjustRightInd w:val="0"/>
        <w:spacing w:before="120" w:after="0" w:line="240" w:lineRule="auto"/>
        <w:ind w:firstLine="6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Показатели удельной величины потребления природного газа и горячей воды равны "0", так как в рай</w:t>
      </w:r>
      <w:r w:rsidR="00E62A63">
        <w:rPr>
          <w:rFonts w:ascii="Times New Roman CYR" w:hAnsi="Times New Roman CYR" w:cs="Times New Roman CYR"/>
          <w:sz w:val="28"/>
          <w:szCs w:val="28"/>
          <w:u w:color="FF0000"/>
        </w:rPr>
        <w:t>оне отсутствует инфраструктура.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E62A63" w:rsidRDefault="00E62A63" w:rsidP="00E6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5351B3" w:rsidRDefault="005351B3" w:rsidP="00E6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5351B3" w:rsidRDefault="005351B3" w:rsidP="00E6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lastRenderedPageBreak/>
        <w:t>X. Независимая оценка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DE5FDD" w:rsidRPr="00E62A63" w:rsidRDefault="00DE5FDD" w:rsidP="00E6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E62A6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Pr="00E62A63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color="FF0000"/>
        </w:rPr>
        <w:t>«</w:t>
      </w:r>
      <w:r w:rsidRPr="00E62A6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Интернет</w:t>
      </w:r>
      <w:r w:rsidRPr="00E62A63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color="FF0000"/>
        </w:rPr>
        <w:t>») (</w:t>
      </w:r>
      <w:r w:rsidRPr="00E62A6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при наличии)</w:t>
      </w: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 В 2022 году организации культуры</w:t>
      </w:r>
      <w:r w:rsidR="00C36266">
        <w:rPr>
          <w:rFonts w:ascii="Times New Roman CYR" w:hAnsi="Times New Roman CYR" w:cs="Times New Roman CYR"/>
          <w:sz w:val="28"/>
          <w:szCs w:val="28"/>
          <w:u w:color="FF0000"/>
        </w:rPr>
        <w:t xml:space="preserve"> и образования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не проходили независимую оценку качества условий оказания услуг.</w:t>
      </w:r>
    </w:p>
    <w:p w:rsidR="00FC5F82" w:rsidRPr="00FB3151" w:rsidRDefault="00DE5FDD" w:rsidP="00E62A63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</w:t>
      </w:r>
    </w:p>
    <w:p w:rsidR="00FC5F82" w:rsidRPr="00FB3151" w:rsidRDefault="00FC5F82" w:rsidP="00E62A63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8"/>
          <w:szCs w:val="28"/>
          <w:u w:color="FF0000"/>
        </w:rPr>
      </w:pPr>
    </w:p>
    <w:p w:rsidR="00FC5F82" w:rsidRPr="00FB3151" w:rsidRDefault="00FC5F82" w:rsidP="00E62A63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8"/>
          <w:szCs w:val="28"/>
          <w:u w:color="FF0000"/>
        </w:rPr>
      </w:pPr>
    </w:p>
    <w:p w:rsidR="00FC5F82" w:rsidRPr="00FB3151" w:rsidRDefault="00FC5F82" w:rsidP="00E62A63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8"/>
          <w:szCs w:val="28"/>
          <w:u w:color="FF0000"/>
        </w:rPr>
      </w:pPr>
    </w:p>
    <w:p w:rsidR="00FC5F82" w:rsidRPr="00FB3151" w:rsidRDefault="00FC5F82" w:rsidP="00E62A63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8"/>
          <w:szCs w:val="28"/>
          <w:u w:color="FF0000"/>
        </w:rPr>
      </w:pPr>
    </w:p>
    <w:p w:rsidR="00FC5F82" w:rsidRPr="00FB3151" w:rsidRDefault="00FC5F82" w:rsidP="00E62A63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8"/>
          <w:szCs w:val="28"/>
          <w:u w:color="FF0000"/>
        </w:rPr>
      </w:pPr>
    </w:p>
    <w:p w:rsidR="00FC5F82" w:rsidRPr="00FB3151" w:rsidRDefault="00FC5F82" w:rsidP="00E62A63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8"/>
          <w:szCs w:val="28"/>
          <w:u w:color="FF0000"/>
        </w:rPr>
      </w:pPr>
    </w:p>
    <w:p w:rsidR="00FC5F82" w:rsidRPr="00FB3151" w:rsidRDefault="00FC5F82" w:rsidP="00E62A63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8"/>
          <w:szCs w:val="28"/>
          <w:u w:color="FF0000"/>
        </w:rPr>
      </w:pPr>
    </w:p>
    <w:p w:rsidR="00FC5F82" w:rsidRPr="00FB3151" w:rsidRDefault="00FC5F82" w:rsidP="00E62A63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8"/>
          <w:szCs w:val="28"/>
          <w:u w:color="FF0000"/>
        </w:rPr>
      </w:pPr>
    </w:p>
    <w:p w:rsidR="00FC5F82" w:rsidRDefault="00FC5F82" w:rsidP="00FC5F82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района                                                                                   В.Н. Дергунов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F82" w:rsidRDefault="00FC5F82" w:rsidP="00FC5F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C5F82" w:rsidRDefault="00FC5F82" w:rsidP="00E62A63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E5FDD" w:rsidRDefault="00DE5FDD" w:rsidP="00DE5F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EB6382" w:rsidRDefault="00EB6382"/>
    <w:sectPr w:rsidR="00EB6382" w:rsidSect="003D5CAF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D8B8C8"/>
    <w:lvl w:ilvl="0">
      <w:numFmt w:val="bullet"/>
      <w:lvlText w:val="*"/>
      <w:lvlJc w:val="left"/>
    </w:lvl>
  </w:abstractNum>
  <w:abstractNum w:abstractNumId="1" w15:restartNumberingAfterBreak="0">
    <w:nsid w:val="0D302E53"/>
    <w:multiLevelType w:val="singleLevel"/>
    <w:tmpl w:val="C4522320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DD"/>
    <w:rsid w:val="000F3A31"/>
    <w:rsid w:val="003D5CAF"/>
    <w:rsid w:val="005351B3"/>
    <w:rsid w:val="0078525F"/>
    <w:rsid w:val="00893230"/>
    <w:rsid w:val="00C36266"/>
    <w:rsid w:val="00DE5FDD"/>
    <w:rsid w:val="00E62A63"/>
    <w:rsid w:val="00EB6382"/>
    <w:rsid w:val="00FB3151"/>
    <w:rsid w:val="00FC5F82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A9AE"/>
  <w15:chartTrackingRefBased/>
  <w15:docId w15:val="{E787AAF3-CDE4-4DE4-9902-69E1789C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www.adm-dzerg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E8030-9DDD-4A5C-9068-87234B3C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8528</Words>
  <Characters>48615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2023-04-25T01:32:00Z</cp:lastPrinted>
  <dcterms:created xsi:type="dcterms:W3CDTF">2023-04-19T07:07:00Z</dcterms:created>
  <dcterms:modified xsi:type="dcterms:W3CDTF">2023-04-25T01:42:00Z</dcterms:modified>
</cp:coreProperties>
</file>